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64CF" w14:textId="77777777" w:rsidR="000436BE" w:rsidRDefault="00000000">
      <w:pPr>
        <w:ind w:left="6028"/>
        <w:rPr>
          <w:rFonts w:ascii="Times New Roman"/>
          <w:sz w:val="20"/>
        </w:rPr>
      </w:pPr>
      <w:r>
        <w:rPr>
          <w:rFonts w:ascii="Times New Roman"/>
          <w:noProof/>
          <w:sz w:val="20"/>
        </w:rPr>
        <w:drawing>
          <wp:inline distT="0" distB="0" distL="0" distR="0" wp14:anchorId="25AD8729" wp14:editId="0D26ED0A">
            <wp:extent cx="1757771" cy="4297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57771" cy="429768"/>
                    </a:xfrm>
                    <a:prstGeom prst="rect">
                      <a:avLst/>
                    </a:prstGeom>
                  </pic:spPr>
                </pic:pic>
              </a:graphicData>
            </a:graphic>
          </wp:inline>
        </w:drawing>
      </w:r>
    </w:p>
    <w:p w14:paraId="7B191391" w14:textId="77777777" w:rsidR="000436BE" w:rsidRDefault="000436BE">
      <w:pPr>
        <w:pStyle w:val="BodyText"/>
        <w:rPr>
          <w:rFonts w:ascii="Times New Roman"/>
          <w:sz w:val="31"/>
        </w:rPr>
      </w:pPr>
    </w:p>
    <w:p w14:paraId="0C108EA0" w14:textId="77777777" w:rsidR="000436BE" w:rsidRDefault="000436BE">
      <w:pPr>
        <w:pStyle w:val="BodyText"/>
        <w:spacing w:before="88"/>
        <w:rPr>
          <w:rFonts w:ascii="Times New Roman"/>
          <w:sz w:val="31"/>
        </w:rPr>
      </w:pPr>
    </w:p>
    <w:p w14:paraId="723C47CB" w14:textId="77777777" w:rsidR="000436BE" w:rsidRDefault="00000000">
      <w:pPr>
        <w:pStyle w:val="Heading1"/>
      </w:pPr>
      <w:r>
        <w:rPr>
          <w:spacing w:val="-2"/>
        </w:rPr>
        <w:t>Trainer</w:t>
      </w:r>
      <w:r>
        <w:rPr>
          <w:spacing w:val="-11"/>
        </w:rPr>
        <w:t xml:space="preserve"> </w:t>
      </w:r>
      <w:r>
        <w:rPr>
          <w:spacing w:val="-2"/>
        </w:rPr>
        <w:t>Empanelment</w:t>
      </w:r>
      <w:r>
        <w:t xml:space="preserve"> </w:t>
      </w:r>
      <w:r>
        <w:rPr>
          <w:spacing w:val="-2"/>
        </w:rPr>
        <w:t>Agreement</w:t>
      </w:r>
    </w:p>
    <w:p w14:paraId="0D9B3561" w14:textId="77777777" w:rsidR="000436BE" w:rsidRDefault="000436BE">
      <w:pPr>
        <w:pStyle w:val="BodyText"/>
        <w:spacing w:before="29"/>
        <w:rPr>
          <w:rFonts w:ascii="Arial"/>
          <w:b/>
          <w:sz w:val="31"/>
        </w:rPr>
      </w:pPr>
    </w:p>
    <w:p w14:paraId="165B7CD1" w14:textId="78050578" w:rsidR="000436BE" w:rsidRDefault="00000000">
      <w:pPr>
        <w:ind w:left="62" w:right="337"/>
        <w:jc w:val="both"/>
      </w:pPr>
      <w:r>
        <w:t xml:space="preserve">This Agreement is made on </w:t>
      </w:r>
      <w:r w:rsidR="0030234E">
        <w:t>28</w:t>
      </w:r>
      <w:r>
        <w:rPr>
          <w:vertAlign w:val="superscript"/>
        </w:rPr>
        <w:t>th</w:t>
      </w:r>
      <w:r>
        <w:t xml:space="preserve"> </w:t>
      </w:r>
      <w:r w:rsidR="0030234E">
        <w:t>April</w:t>
      </w:r>
      <w:r>
        <w:t xml:space="preserve"> 202</w:t>
      </w:r>
      <w:r w:rsidR="0030234E">
        <w:t>6</w:t>
      </w:r>
      <w:r>
        <w:t xml:space="preserve"> and is valid for a period of one Year between Splinter Learning Solutions LLP, (hereinafter referred to as “Principal”) and having its office at I- </w:t>
      </w:r>
      <w:r>
        <w:rPr>
          <w:b/>
        </w:rPr>
        <w:t xml:space="preserve">406, Titanium City Centre Mall, Anand Nagar, Satellite Ahmedabad-380015 </w:t>
      </w:r>
      <w:r>
        <w:t xml:space="preserve">and </w:t>
      </w:r>
      <w:proofErr w:type="spellStart"/>
      <w:r>
        <w:t>Ms</w:t>
      </w:r>
      <w:proofErr w:type="spellEnd"/>
      <w:r>
        <w:t xml:space="preserve"> </w:t>
      </w:r>
      <w:r w:rsidR="0030234E">
        <w:t xml:space="preserve">Nidhi Pareek </w:t>
      </w:r>
      <w:r>
        <w:t xml:space="preserve">(Hereinafter referred as “Consultant”), and having her residence at </w:t>
      </w:r>
      <w:r>
        <w:rPr>
          <w:spacing w:val="-2"/>
        </w:rPr>
        <w:t>Ahmedabad.</w:t>
      </w:r>
    </w:p>
    <w:p w14:paraId="4ED028B4" w14:textId="77777777" w:rsidR="000436BE" w:rsidRDefault="00000000">
      <w:pPr>
        <w:pStyle w:val="BodyText"/>
        <w:spacing w:before="201"/>
        <w:ind w:left="62"/>
        <w:jc w:val="both"/>
      </w:pPr>
      <w:r>
        <w:t>Where</w:t>
      </w:r>
      <w:r>
        <w:rPr>
          <w:spacing w:val="-17"/>
        </w:rPr>
        <w:t xml:space="preserve"> </w:t>
      </w:r>
      <w:r>
        <w:rPr>
          <w:spacing w:val="-5"/>
        </w:rPr>
        <w:t>as</w:t>
      </w:r>
    </w:p>
    <w:p w14:paraId="22B665DF" w14:textId="77777777" w:rsidR="000436BE" w:rsidRDefault="00000000">
      <w:pPr>
        <w:pStyle w:val="BodyText"/>
        <w:spacing w:before="136"/>
        <w:ind w:left="984" w:right="118" w:hanging="567"/>
        <w:jc w:val="both"/>
      </w:pPr>
      <w:proofErr w:type="spellStart"/>
      <w:r>
        <w:t>i</w:t>
      </w:r>
      <w:proofErr w:type="spellEnd"/>
      <w:r>
        <w:t>.</w:t>
      </w:r>
      <w:r>
        <w:rPr>
          <w:spacing w:val="80"/>
        </w:rPr>
        <w:t xml:space="preserve"> </w:t>
      </w:r>
      <w:r>
        <w:t xml:space="preserve">The Principal is in the business of providing Classroom trainings including but not limited to Soft Skills, Sales and </w:t>
      </w:r>
      <w:proofErr w:type="spellStart"/>
      <w:r>
        <w:t>Behavioural</w:t>
      </w:r>
      <w:proofErr w:type="spellEnd"/>
      <w:r>
        <w:rPr>
          <w:spacing w:val="40"/>
        </w:rPr>
        <w:t xml:space="preserve"> </w:t>
      </w:r>
      <w:r>
        <w:t>Training, Managerial Development, Leadership Development. The principal also provides OD consultation and other people &amp; Business development consultation. Principals also provides E-Learning and Technical trainings, LMS etc.</w:t>
      </w:r>
      <w:r>
        <w:rPr>
          <w:spacing w:val="40"/>
        </w:rPr>
        <w:t xml:space="preserve"> </w:t>
      </w:r>
      <w:r>
        <w:t>For the purpose of business it requires experienced Trainers/ consultants who can assist the Principal to provide these services to its clients.</w:t>
      </w:r>
    </w:p>
    <w:p w14:paraId="4A6EE5BE" w14:textId="77777777" w:rsidR="000436BE" w:rsidRDefault="000436BE">
      <w:pPr>
        <w:pStyle w:val="BodyText"/>
        <w:spacing w:before="143"/>
      </w:pPr>
    </w:p>
    <w:p w14:paraId="1B7079AD" w14:textId="77777777" w:rsidR="000436BE" w:rsidRDefault="00000000">
      <w:pPr>
        <w:pStyle w:val="BodyText"/>
        <w:spacing w:before="1" w:line="276" w:lineRule="auto"/>
        <w:ind w:left="62" w:right="221"/>
      </w:pPr>
      <w:r>
        <w:t>Now</w:t>
      </w:r>
      <w:r>
        <w:rPr>
          <w:spacing w:val="-8"/>
        </w:rPr>
        <w:t xml:space="preserve"> </w:t>
      </w:r>
      <w:r>
        <w:t>therefore</w:t>
      </w:r>
      <w:r>
        <w:rPr>
          <w:spacing w:val="-10"/>
        </w:rPr>
        <w:t xml:space="preserve"> </w:t>
      </w:r>
      <w:r>
        <w:t>in</w:t>
      </w:r>
      <w:r>
        <w:rPr>
          <w:spacing w:val="-10"/>
        </w:rPr>
        <w:t xml:space="preserve"> </w:t>
      </w:r>
      <w:r>
        <w:t>consideration</w:t>
      </w:r>
      <w:r>
        <w:rPr>
          <w:spacing w:val="-6"/>
        </w:rPr>
        <w:t xml:space="preserve"> </w:t>
      </w:r>
      <w:r>
        <w:t>of</w:t>
      </w:r>
      <w:r>
        <w:rPr>
          <w:spacing w:val="-9"/>
        </w:rPr>
        <w:t xml:space="preserve"> </w:t>
      </w:r>
      <w:r>
        <w:t>the</w:t>
      </w:r>
      <w:r>
        <w:rPr>
          <w:spacing w:val="-11"/>
        </w:rPr>
        <w:t xml:space="preserve"> </w:t>
      </w:r>
      <w:r>
        <w:t>mutual</w:t>
      </w:r>
      <w:r>
        <w:rPr>
          <w:spacing w:val="-16"/>
        </w:rPr>
        <w:t xml:space="preserve"> </w:t>
      </w:r>
      <w:r>
        <w:t>obligations</w:t>
      </w:r>
      <w:r>
        <w:rPr>
          <w:spacing w:val="-8"/>
        </w:rPr>
        <w:t xml:space="preserve"> </w:t>
      </w:r>
      <w:r>
        <w:t>and</w:t>
      </w:r>
      <w:r>
        <w:rPr>
          <w:spacing w:val="-8"/>
        </w:rPr>
        <w:t xml:space="preserve"> </w:t>
      </w:r>
      <w:r>
        <w:t>undertakings both parties have agreed as hereunder</w:t>
      </w:r>
    </w:p>
    <w:p w14:paraId="44F8988C" w14:textId="77777777" w:rsidR="000436BE" w:rsidRDefault="000436BE">
      <w:pPr>
        <w:pStyle w:val="BodyText"/>
        <w:spacing w:before="154"/>
      </w:pPr>
    </w:p>
    <w:p w14:paraId="1000FD44" w14:textId="77777777" w:rsidR="000436BE" w:rsidRDefault="00000000">
      <w:pPr>
        <w:pStyle w:val="ListParagraph"/>
        <w:numPr>
          <w:ilvl w:val="0"/>
          <w:numId w:val="2"/>
        </w:numPr>
        <w:tabs>
          <w:tab w:val="left" w:pos="483"/>
          <w:tab w:val="left" w:pos="485"/>
        </w:tabs>
        <w:ind w:right="124"/>
        <w:jc w:val="both"/>
        <w:rPr>
          <w:sz w:val="20"/>
        </w:rPr>
      </w:pPr>
      <w:r>
        <w:t>This Agreement is for execution of training assignments/ Consultancy Projects as and when the Principal hires the Consultant for his/her professional services.</w:t>
      </w:r>
    </w:p>
    <w:p w14:paraId="1100DB58" w14:textId="77777777" w:rsidR="000436BE" w:rsidRDefault="00000000">
      <w:pPr>
        <w:pStyle w:val="ListParagraph"/>
        <w:numPr>
          <w:ilvl w:val="0"/>
          <w:numId w:val="2"/>
        </w:numPr>
        <w:tabs>
          <w:tab w:val="left" w:pos="483"/>
          <w:tab w:val="left" w:pos="485"/>
        </w:tabs>
        <w:spacing w:before="202"/>
        <w:ind w:right="129"/>
        <w:jc w:val="both"/>
        <w:rPr>
          <w:sz w:val="20"/>
        </w:rPr>
      </w:pPr>
      <w:r>
        <w:t>This Agreement is for a period of one year and the parties may mutually renew this Agreement for a further term of one year by executing another fresh agreement.</w:t>
      </w:r>
    </w:p>
    <w:p w14:paraId="68EB76F0" w14:textId="77777777" w:rsidR="000436BE" w:rsidRDefault="000436BE">
      <w:pPr>
        <w:pStyle w:val="BodyText"/>
        <w:spacing w:before="97"/>
      </w:pPr>
    </w:p>
    <w:p w14:paraId="2C3EC954" w14:textId="77777777" w:rsidR="000436BE" w:rsidRDefault="00000000">
      <w:pPr>
        <w:pStyle w:val="ListParagraph"/>
        <w:numPr>
          <w:ilvl w:val="0"/>
          <w:numId w:val="2"/>
        </w:numPr>
        <w:tabs>
          <w:tab w:val="left" w:pos="483"/>
          <w:tab w:val="left" w:pos="485"/>
        </w:tabs>
        <w:ind w:right="130"/>
        <w:jc w:val="both"/>
        <w:rPr>
          <w:sz w:val="20"/>
        </w:rPr>
      </w:pPr>
      <w:r>
        <w:t>As per the Agreement the roles and responsibilities of the Consultant and Principal are mentioned in the Annexure I and Annexure II respectively. Any deviation from the Agreement would automatically be treated as breach resulting in termination of contract and possible legal action by either of the parties to the agreement.</w:t>
      </w:r>
    </w:p>
    <w:p w14:paraId="7FBE63D1" w14:textId="77777777" w:rsidR="000436BE" w:rsidRDefault="00000000">
      <w:pPr>
        <w:pStyle w:val="ListParagraph"/>
        <w:numPr>
          <w:ilvl w:val="0"/>
          <w:numId w:val="2"/>
        </w:numPr>
        <w:tabs>
          <w:tab w:val="left" w:pos="483"/>
          <w:tab w:val="left" w:pos="485"/>
        </w:tabs>
        <w:spacing w:before="234"/>
        <w:ind w:right="120"/>
        <w:jc w:val="both"/>
        <w:rPr>
          <w:sz w:val="20"/>
        </w:rPr>
      </w:pPr>
      <w:r>
        <w:rPr>
          <w:rFonts w:ascii="Arial MT"/>
        </w:rPr>
        <w:t>This is a Non Exclusive Agreement between Principal and Consultant, wherein the Principal can engage any number of Consultants based on the business and assignment needs and the Consultant can choose to deliver training workshops</w:t>
      </w:r>
      <w:r>
        <w:rPr>
          <w:rFonts w:ascii="Arial MT"/>
          <w:spacing w:val="40"/>
        </w:rPr>
        <w:t xml:space="preserve"> </w:t>
      </w:r>
      <w:r>
        <w:rPr>
          <w:rFonts w:ascii="Arial MT"/>
        </w:rPr>
        <w:t xml:space="preserve">either independently or for any other company </w:t>
      </w:r>
      <w:r>
        <w:rPr>
          <w:rFonts w:ascii="Arial"/>
          <w:b/>
        </w:rPr>
        <w:t xml:space="preserve">except the programs </w:t>
      </w:r>
      <w:r>
        <w:rPr>
          <w:rFonts w:ascii="Arial MT"/>
        </w:rPr>
        <w:t>that has been developed and delivered to the clients of Splinter Learning Solutions LLP.</w:t>
      </w:r>
    </w:p>
    <w:p w14:paraId="460853FE" w14:textId="77777777" w:rsidR="000436BE" w:rsidRDefault="00000000">
      <w:pPr>
        <w:pStyle w:val="ListParagraph"/>
        <w:numPr>
          <w:ilvl w:val="0"/>
          <w:numId w:val="2"/>
        </w:numPr>
        <w:tabs>
          <w:tab w:val="left" w:pos="483"/>
          <w:tab w:val="left" w:pos="485"/>
        </w:tabs>
        <w:spacing w:before="227" w:line="244" w:lineRule="auto"/>
        <w:ind w:right="139"/>
        <w:jc w:val="both"/>
        <w:rPr>
          <w:sz w:val="20"/>
        </w:rPr>
      </w:pPr>
      <w:r>
        <w:t>During the period of provision of Training Services for a specific client (“Assignment”), the Consultant will not deviate from the schedule and work as per the agreed time period for the assignment.</w:t>
      </w:r>
    </w:p>
    <w:p w14:paraId="488B15E8" w14:textId="77777777" w:rsidR="000436BE" w:rsidRDefault="000436BE">
      <w:pPr>
        <w:pStyle w:val="ListParagraph"/>
        <w:spacing w:line="244" w:lineRule="auto"/>
        <w:rPr>
          <w:sz w:val="20"/>
        </w:rPr>
        <w:sectPr w:rsidR="000436BE">
          <w:type w:val="continuous"/>
          <w:pgSz w:w="11900" w:h="16840"/>
          <w:pgMar w:top="680" w:right="1275" w:bottom="280" w:left="1700" w:header="720" w:footer="720" w:gutter="0"/>
          <w:pgBorders w:offsetFrom="page">
            <w:top w:val="single" w:sz="18" w:space="24" w:color="006EC0"/>
            <w:left w:val="single" w:sz="18" w:space="24" w:color="006EC0"/>
            <w:bottom w:val="single" w:sz="18" w:space="24" w:color="006EC0"/>
            <w:right w:val="single" w:sz="18" w:space="24" w:color="006EC0"/>
          </w:pgBorders>
          <w:cols w:space="720"/>
        </w:sectPr>
      </w:pPr>
    </w:p>
    <w:p w14:paraId="1AD44EEF" w14:textId="77777777" w:rsidR="000436BE" w:rsidRDefault="00000000">
      <w:pPr>
        <w:ind w:left="6028"/>
        <w:rPr>
          <w:sz w:val="20"/>
        </w:rPr>
      </w:pPr>
      <w:r>
        <w:rPr>
          <w:noProof/>
          <w:sz w:val="20"/>
        </w:rPr>
        <w:lastRenderedPageBreak/>
        <w:drawing>
          <wp:inline distT="0" distB="0" distL="0" distR="0" wp14:anchorId="29605481" wp14:editId="6F96915B">
            <wp:extent cx="1757771" cy="42976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757771" cy="429768"/>
                    </a:xfrm>
                    <a:prstGeom prst="rect">
                      <a:avLst/>
                    </a:prstGeom>
                  </pic:spPr>
                </pic:pic>
              </a:graphicData>
            </a:graphic>
          </wp:inline>
        </w:drawing>
      </w:r>
    </w:p>
    <w:p w14:paraId="5DE4DEA5" w14:textId="77777777" w:rsidR="000436BE" w:rsidRDefault="00000000">
      <w:pPr>
        <w:pStyle w:val="ListParagraph"/>
        <w:numPr>
          <w:ilvl w:val="0"/>
          <w:numId w:val="2"/>
        </w:numPr>
        <w:tabs>
          <w:tab w:val="left" w:pos="483"/>
          <w:tab w:val="left" w:pos="485"/>
        </w:tabs>
        <w:spacing w:before="247"/>
        <w:jc w:val="both"/>
        <w:rPr>
          <w:sz w:val="20"/>
        </w:rPr>
      </w:pPr>
      <w:r>
        <w:t xml:space="preserve">The Professional Fee to be paid by to the Consultant would be based on the Assignment on mutually acceptable rates. The Professional Fee would be paid </w:t>
      </w:r>
      <w:r>
        <w:rPr>
          <w:b/>
        </w:rPr>
        <w:t xml:space="preserve">within 45 days </w:t>
      </w:r>
      <w:r>
        <w:t xml:space="preserve">of receipt of Invoice by the principal. The payment will be made by Direct Bank Transfer in the </w:t>
      </w:r>
      <w:proofErr w:type="spellStart"/>
      <w:r>
        <w:t>favour</w:t>
      </w:r>
      <w:proofErr w:type="spellEnd"/>
      <w:r>
        <w:t xml:space="preserve"> of/to the credit of the Consultant after deducting the statutory taxes as applicable.(For further details on this please refer our payment guidelines attached separately)</w:t>
      </w:r>
    </w:p>
    <w:p w14:paraId="303E4625" w14:textId="77777777" w:rsidR="000436BE" w:rsidRDefault="000436BE">
      <w:pPr>
        <w:pStyle w:val="BodyText"/>
        <w:spacing w:before="136"/>
      </w:pPr>
    </w:p>
    <w:p w14:paraId="6015C9FD" w14:textId="77777777" w:rsidR="000436BE" w:rsidRDefault="00000000">
      <w:pPr>
        <w:pStyle w:val="ListParagraph"/>
        <w:numPr>
          <w:ilvl w:val="0"/>
          <w:numId w:val="2"/>
        </w:numPr>
        <w:tabs>
          <w:tab w:val="left" w:pos="478"/>
          <w:tab w:val="left" w:pos="480"/>
        </w:tabs>
        <w:spacing w:before="1"/>
        <w:ind w:left="480" w:right="118"/>
        <w:jc w:val="both"/>
      </w:pPr>
      <w:r>
        <w:t xml:space="preserve">Consultant can never approach all and any of the clients where the consulted have delivered his/her services on behalf of the principal or approached on behalf of the principal. The consultant is required to share </w:t>
      </w:r>
      <w:proofErr w:type="spellStart"/>
      <w:r>
        <w:t>before hand</w:t>
      </w:r>
      <w:proofErr w:type="spellEnd"/>
      <w:r>
        <w:t xml:space="preserve"> if he/she has delivered their services with any client where principal</w:t>
      </w:r>
      <w:r>
        <w:rPr>
          <w:spacing w:val="-4"/>
        </w:rPr>
        <w:t xml:space="preserve"> </w:t>
      </w:r>
      <w:r>
        <w:t>is</w:t>
      </w:r>
      <w:r>
        <w:rPr>
          <w:spacing w:val="-3"/>
        </w:rPr>
        <w:t xml:space="preserve"> </w:t>
      </w:r>
      <w:r>
        <w:t>planning to</w:t>
      </w:r>
      <w:r>
        <w:rPr>
          <w:spacing w:val="-2"/>
        </w:rPr>
        <w:t xml:space="preserve"> </w:t>
      </w:r>
      <w:r>
        <w:t>deploy the</w:t>
      </w:r>
      <w:r>
        <w:rPr>
          <w:spacing w:val="-5"/>
        </w:rPr>
        <w:t xml:space="preserve"> </w:t>
      </w:r>
      <w:r>
        <w:t>consultant before they were</w:t>
      </w:r>
      <w:r>
        <w:rPr>
          <w:spacing w:val="-4"/>
        </w:rPr>
        <w:t xml:space="preserve"> </w:t>
      </w:r>
      <w:r>
        <w:t>approached by principal.</w:t>
      </w:r>
    </w:p>
    <w:p w14:paraId="3EF2D2DD" w14:textId="77777777" w:rsidR="000436BE" w:rsidRDefault="000436BE">
      <w:pPr>
        <w:pStyle w:val="BodyText"/>
        <w:spacing w:before="145"/>
      </w:pPr>
    </w:p>
    <w:p w14:paraId="04904DF8" w14:textId="77777777" w:rsidR="000436BE" w:rsidRDefault="00000000">
      <w:pPr>
        <w:pStyle w:val="ListParagraph"/>
        <w:numPr>
          <w:ilvl w:val="0"/>
          <w:numId w:val="2"/>
        </w:numPr>
        <w:tabs>
          <w:tab w:val="left" w:pos="478"/>
          <w:tab w:val="left" w:pos="480"/>
        </w:tabs>
        <w:ind w:left="480"/>
        <w:jc w:val="both"/>
      </w:pPr>
      <w:r>
        <w:t>If the client where the consultant was deployed by the principal is contacted by the same client for any future assignments then the consultant will not undertake any such assignment and also inform the principal of any such instance.</w:t>
      </w:r>
    </w:p>
    <w:p w14:paraId="2F0BC2DD" w14:textId="77777777" w:rsidR="000436BE" w:rsidRDefault="000436BE">
      <w:pPr>
        <w:pStyle w:val="BodyText"/>
        <w:spacing w:before="266"/>
      </w:pPr>
    </w:p>
    <w:p w14:paraId="713F72B9" w14:textId="77777777" w:rsidR="000436BE" w:rsidRDefault="00000000">
      <w:pPr>
        <w:pStyle w:val="ListParagraph"/>
        <w:numPr>
          <w:ilvl w:val="0"/>
          <w:numId w:val="2"/>
        </w:numPr>
        <w:tabs>
          <w:tab w:val="left" w:pos="478"/>
          <w:tab w:val="left" w:pos="480"/>
        </w:tabs>
        <w:spacing w:before="1"/>
        <w:ind w:left="480" w:right="126"/>
        <w:jc w:val="both"/>
      </w:pPr>
      <w:r>
        <w:t>If a consultant is deployed at a project where the client happens to be a party who has further outsourced/Sublet the project to Splinter Learning Solutions LLP in such a case the consultant can never approach the client of Outsourcing party</w:t>
      </w:r>
      <w:r>
        <w:rPr>
          <w:spacing w:val="-1"/>
        </w:rPr>
        <w:t xml:space="preserve"> </w:t>
      </w:r>
      <w:r>
        <w:t>(mentioned as the</w:t>
      </w:r>
      <w:r>
        <w:rPr>
          <w:spacing w:val="-1"/>
        </w:rPr>
        <w:t xml:space="preserve"> </w:t>
      </w:r>
      <w:r>
        <w:t>end client). In case</w:t>
      </w:r>
      <w:r>
        <w:rPr>
          <w:spacing w:val="-1"/>
        </w:rPr>
        <w:t xml:space="preserve"> </w:t>
      </w:r>
      <w:r>
        <w:t>the consultant is approached by the end client consultant will not undertake any such assignment and also inform the principal of any such instance.</w:t>
      </w:r>
    </w:p>
    <w:p w14:paraId="2A210644" w14:textId="77777777" w:rsidR="000436BE" w:rsidRDefault="000436BE">
      <w:pPr>
        <w:pStyle w:val="BodyText"/>
        <w:spacing w:before="202"/>
      </w:pPr>
    </w:p>
    <w:p w14:paraId="4FFA1746" w14:textId="77777777" w:rsidR="000436BE" w:rsidRDefault="00000000">
      <w:pPr>
        <w:pStyle w:val="ListParagraph"/>
        <w:numPr>
          <w:ilvl w:val="0"/>
          <w:numId w:val="2"/>
        </w:numPr>
        <w:tabs>
          <w:tab w:val="left" w:pos="473"/>
          <w:tab w:val="left" w:pos="480"/>
        </w:tabs>
        <w:ind w:left="480" w:right="121"/>
        <w:jc w:val="both"/>
        <w:rPr>
          <w:sz w:val="20"/>
        </w:rPr>
      </w:pPr>
      <w:r>
        <w:t>In connection with this Agreement, the Principal may disclose confidential information to the Consultant. All information disclosed to the Consultant shall be and remain the Principal's exclusive property, and the Consultant shall keep all such information confidential and shall not use it, copy it or disclose it to others without the Principal's prior written approval, and</w:t>
      </w:r>
      <w:r>
        <w:rPr>
          <w:spacing w:val="80"/>
        </w:rPr>
        <w:t xml:space="preserve"> </w:t>
      </w:r>
      <w:r>
        <w:t xml:space="preserve">shall return all copies of such information to the Principal promptly upon request or on termination. In any case, the Consultant breaches this clause; the Principal shall be entitled to seek injunctive relief against the </w:t>
      </w:r>
      <w:r>
        <w:rPr>
          <w:spacing w:val="-2"/>
        </w:rPr>
        <w:t>Consultant.</w:t>
      </w:r>
    </w:p>
    <w:p w14:paraId="485BB797" w14:textId="77777777" w:rsidR="000436BE" w:rsidRDefault="000436BE">
      <w:pPr>
        <w:pStyle w:val="BodyText"/>
        <w:spacing w:before="102"/>
      </w:pPr>
    </w:p>
    <w:p w14:paraId="019EE98F" w14:textId="77777777" w:rsidR="000436BE" w:rsidRDefault="00000000">
      <w:pPr>
        <w:pStyle w:val="ListParagraph"/>
        <w:numPr>
          <w:ilvl w:val="0"/>
          <w:numId w:val="2"/>
        </w:numPr>
        <w:tabs>
          <w:tab w:val="left" w:pos="478"/>
          <w:tab w:val="left" w:pos="480"/>
        </w:tabs>
        <w:ind w:left="480" w:right="123"/>
        <w:jc w:val="both"/>
        <w:rPr>
          <w:sz w:val="18"/>
        </w:rPr>
      </w:pPr>
      <w:r>
        <w:t>Any disputes arising under or in relation to this Agreement shall be resolved</w:t>
      </w:r>
      <w:r>
        <w:rPr>
          <w:spacing w:val="40"/>
        </w:rPr>
        <w:t xml:space="preserve"> </w:t>
      </w:r>
      <w:r>
        <w:t>by means of arbitration at Ahmedabad. The language of Arbitration shall be English.</w:t>
      </w:r>
    </w:p>
    <w:p w14:paraId="4872D449" w14:textId="77777777" w:rsidR="000436BE" w:rsidRDefault="000436BE">
      <w:pPr>
        <w:pStyle w:val="BodyText"/>
        <w:spacing w:before="255"/>
      </w:pPr>
    </w:p>
    <w:p w14:paraId="7846DD58" w14:textId="77777777" w:rsidR="000436BE" w:rsidRDefault="00000000">
      <w:pPr>
        <w:spacing w:before="1"/>
        <w:ind w:left="62"/>
        <w:rPr>
          <w:rFonts w:ascii="Arial MT"/>
          <w:sz w:val="23"/>
        </w:rPr>
      </w:pPr>
      <w:r>
        <w:rPr>
          <w:rFonts w:ascii="Arial"/>
          <w:b/>
          <w:sz w:val="23"/>
        </w:rPr>
        <w:t>Annexure</w:t>
      </w:r>
      <w:r>
        <w:rPr>
          <w:rFonts w:ascii="Arial"/>
          <w:b/>
          <w:spacing w:val="-12"/>
          <w:sz w:val="23"/>
        </w:rPr>
        <w:t xml:space="preserve"> </w:t>
      </w:r>
      <w:r>
        <w:rPr>
          <w:rFonts w:ascii="Arial"/>
          <w:b/>
          <w:sz w:val="23"/>
        </w:rPr>
        <w:t>I:</w:t>
      </w:r>
      <w:r>
        <w:rPr>
          <w:rFonts w:ascii="Arial"/>
          <w:b/>
          <w:spacing w:val="-2"/>
          <w:sz w:val="23"/>
        </w:rPr>
        <w:t xml:space="preserve"> </w:t>
      </w:r>
      <w:r>
        <w:rPr>
          <w:rFonts w:ascii="Arial MT"/>
          <w:sz w:val="23"/>
        </w:rPr>
        <w:t>Roles</w:t>
      </w:r>
      <w:r>
        <w:rPr>
          <w:rFonts w:ascii="Arial MT"/>
          <w:spacing w:val="-10"/>
          <w:sz w:val="23"/>
        </w:rPr>
        <w:t xml:space="preserve"> </w:t>
      </w:r>
      <w:r>
        <w:rPr>
          <w:rFonts w:ascii="Arial MT"/>
          <w:sz w:val="23"/>
        </w:rPr>
        <w:t>and</w:t>
      </w:r>
      <w:r>
        <w:rPr>
          <w:rFonts w:ascii="Arial MT"/>
          <w:spacing w:val="-13"/>
          <w:sz w:val="23"/>
        </w:rPr>
        <w:t xml:space="preserve"> </w:t>
      </w:r>
      <w:r>
        <w:rPr>
          <w:rFonts w:ascii="Arial MT"/>
          <w:sz w:val="23"/>
        </w:rPr>
        <w:t>Responsibilities</w:t>
      </w:r>
      <w:r>
        <w:rPr>
          <w:rFonts w:ascii="Arial MT"/>
          <w:spacing w:val="-9"/>
          <w:sz w:val="23"/>
        </w:rPr>
        <w:t xml:space="preserve"> </w:t>
      </w:r>
      <w:r>
        <w:rPr>
          <w:rFonts w:ascii="Arial MT"/>
          <w:sz w:val="23"/>
        </w:rPr>
        <w:t>of</w:t>
      </w:r>
      <w:r>
        <w:rPr>
          <w:rFonts w:ascii="Arial MT"/>
          <w:spacing w:val="-8"/>
          <w:sz w:val="23"/>
        </w:rPr>
        <w:t xml:space="preserve"> </w:t>
      </w:r>
      <w:r>
        <w:rPr>
          <w:rFonts w:ascii="Arial MT"/>
          <w:sz w:val="23"/>
        </w:rPr>
        <w:t>the</w:t>
      </w:r>
      <w:r>
        <w:rPr>
          <w:rFonts w:ascii="Arial MT"/>
          <w:spacing w:val="-9"/>
          <w:sz w:val="23"/>
        </w:rPr>
        <w:t xml:space="preserve"> </w:t>
      </w:r>
      <w:r>
        <w:rPr>
          <w:rFonts w:ascii="Arial MT"/>
          <w:spacing w:val="-2"/>
          <w:sz w:val="23"/>
        </w:rPr>
        <w:t>Consultant:</w:t>
      </w:r>
    </w:p>
    <w:p w14:paraId="51A662B1" w14:textId="77777777" w:rsidR="000436BE" w:rsidRDefault="000436BE">
      <w:pPr>
        <w:pStyle w:val="BodyText"/>
        <w:rPr>
          <w:rFonts w:ascii="Arial MT"/>
          <w:sz w:val="23"/>
        </w:rPr>
      </w:pPr>
    </w:p>
    <w:p w14:paraId="77250587" w14:textId="77777777" w:rsidR="000436BE" w:rsidRDefault="000436BE">
      <w:pPr>
        <w:pStyle w:val="BodyText"/>
        <w:spacing w:before="248"/>
        <w:rPr>
          <w:rFonts w:ascii="Arial MT"/>
          <w:sz w:val="23"/>
        </w:rPr>
      </w:pPr>
    </w:p>
    <w:p w14:paraId="6251F517" w14:textId="77777777" w:rsidR="000436BE" w:rsidRDefault="00000000">
      <w:pPr>
        <w:pStyle w:val="ListParagraph"/>
        <w:numPr>
          <w:ilvl w:val="1"/>
          <w:numId w:val="2"/>
        </w:numPr>
        <w:tabs>
          <w:tab w:val="left" w:pos="761"/>
          <w:tab w:val="left" w:pos="763"/>
        </w:tabs>
        <w:spacing w:line="280" w:lineRule="auto"/>
        <w:ind w:right="320"/>
      </w:pPr>
      <w:r>
        <w:t>The</w:t>
      </w:r>
      <w:r>
        <w:rPr>
          <w:spacing w:val="-7"/>
        </w:rPr>
        <w:t xml:space="preserve"> </w:t>
      </w:r>
      <w:r>
        <w:t>Consultant</w:t>
      </w:r>
      <w:r>
        <w:rPr>
          <w:spacing w:val="-5"/>
        </w:rPr>
        <w:t xml:space="preserve"> </w:t>
      </w:r>
      <w:r>
        <w:t>is</w:t>
      </w:r>
      <w:r>
        <w:rPr>
          <w:spacing w:val="-4"/>
        </w:rPr>
        <w:t xml:space="preserve"> </w:t>
      </w:r>
      <w:r>
        <w:t>deputed</w:t>
      </w:r>
      <w:r>
        <w:rPr>
          <w:spacing w:val="-3"/>
        </w:rPr>
        <w:t xml:space="preserve"> </w:t>
      </w:r>
      <w:r>
        <w:t>purely</w:t>
      </w:r>
      <w:r>
        <w:rPr>
          <w:spacing w:val="-5"/>
        </w:rPr>
        <w:t xml:space="preserve"> </w:t>
      </w:r>
      <w:r>
        <w:t>on</w:t>
      </w:r>
      <w:r>
        <w:rPr>
          <w:spacing w:val="-4"/>
        </w:rPr>
        <w:t xml:space="preserve"> </w:t>
      </w:r>
      <w:r>
        <w:t>Assignment</w:t>
      </w:r>
      <w:r>
        <w:rPr>
          <w:spacing w:val="-5"/>
        </w:rPr>
        <w:t xml:space="preserve"> </w:t>
      </w:r>
      <w:r>
        <w:t>basis.</w:t>
      </w:r>
      <w:r>
        <w:rPr>
          <w:spacing w:val="-3"/>
        </w:rPr>
        <w:t xml:space="preserve"> </w:t>
      </w:r>
      <w:r>
        <w:t>The</w:t>
      </w:r>
      <w:r>
        <w:rPr>
          <w:spacing w:val="-7"/>
        </w:rPr>
        <w:t xml:space="preserve"> </w:t>
      </w:r>
      <w:r>
        <w:t>Consultant is not on the permanent rolls of Principal.</w:t>
      </w:r>
    </w:p>
    <w:p w14:paraId="7D3466AB" w14:textId="77777777" w:rsidR="000436BE" w:rsidRDefault="000436BE">
      <w:pPr>
        <w:pStyle w:val="ListParagraph"/>
        <w:spacing w:line="280" w:lineRule="auto"/>
        <w:jc w:val="left"/>
        <w:sectPr w:rsidR="000436BE">
          <w:pgSz w:w="11900" w:h="16840"/>
          <w:pgMar w:top="680" w:right="1275" w:bottom="280" w:left="1700" w:header="720" w:footer="720" w:gutter="0"/>
          <w:pgBorders w:offsetFrom="page">
            <w:top w:val="single" w:sz="18" w:space="24" w:color="006EC0"/>
            <w:left w:val="single" w:sz="18" w:space="24" w:color="006EC0"/>
            <w:bottom w:val="single" w:sz="18" w:space="24" w:color="006EC0"/>
            <w:right w:val="single" w:sz="18" w:space="24" w:color="006EC0"/>
          </w:pgBorders>
          <w:cols w:space="720"/>
        </w:sectPr>
      </w:pPr>
    </w:p>
    <w:p w14:paraId="5E539CDD" w14:textId="77777777" w:rsidR="000436BE" w:rsidRDefault="000436BE">
      <w:pPr>
        <w:pStyle w:val="BodyText"/>
      </w:pPr>
    </w:p>
    <w:p w14:paraId="48B5B61B" w14:textId="77777777" w:rsidR="000436BE" w:rsidRDefault="000436BE">
      <w:pPr>
        <w:pStyle w:val="BodyText"/>
      </w:pPr>
    </w:p>
    <w:p w14:paraId="7E181241" w14:textId="77777777" w:rsidR="000436BE" w:rsidRDefault="000436BE">
      <w:pPr>
        <w:pStyle w:val="BodyText"/>
      </w:pPr>
    </w:p>
    <w:p w14:paraId="7C814FC1" w14:textId="77777777" w:rsidR="000436BE" w:rsidRDefault="000436BE">
      <w:pPr>
        <w:pStyle w:val="BodyText"/>
        <w:spacing w:before="262"/>
      </w:pPr>
    </w:p>
    <w:p w14:paraId="07DDA0F8" w14:textId="77777777" w:rsidR="000436BE" w:rsidRDefault="00000000">
      <w:pPr>
        <w:pStyle w:val="ListParagraph"/>
        <w:numPr>
          <w:ilvl w:val="1"/>
          <w:numId w:val="2"/>
        </w:numPr>
        <w:tabs>
          <w:tab w:val="left" w:pos="761"/>
          <w:tab w:val="left" w:pos="763"/>
        </w:tabs>
        <w:spacing w:line="280" w:lineRule="auto"/>
        <w:ind w:right="137"/>
        <w:jc w:val="both"/>
      </w:pPr>
      <w:r>
        <w:rPr>
          <w:noProof/>
        </w:rPr>
        <w:drawing>
          <wp:anchor distT="0" distB="0" distL="0" distR="0" simplePos="0" relativeHeight="15728640" behindDoc="0" locked="0" layoutInCell="1" allowOverlap="1" wp14:anchorId="7E534E9C" wp14:editId="5CFBAEEE">
            <wp:simplePos x="0" y="0"/>
            <wp:positionH relativeFrom="page">
              <wp:posOffset>4907279</wp:posOffset>
            </wp:positionH>
            <wp:positionV relativeFrom="paragraph">
              <wp:posOffset>-843973</wp:posOffset>
            </wp:positionV>
            <wp:extent cx="1753616" cy="42875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753616" cy="428751"/>
                    </a:xfrm>
                    <a:prstGeom prst="rect">
                      <a:avLst/>
                    </a:prstGeom>
                  </pic:spPr>
                </pic:pic>
              </a:graphicData>
            </a:graphic>
          </wp:anchor>
        </w:drawing>
      </w:r>
      <w:r>
        <w:t>The Consultant is representing the Client as member of the Principal on training and consultancy basis.</w:t>
      </w:r>
    </w:p>
    <w:p w14:paraId="5C74F553" w14:textId="77777777" w:rsidR="000436BE" w:rsidRDefault="000436BE">
      <w:pPr>
        <w:pStyle w:val="BodyText"/>
        <w:spacing w:before="135"/>
      </w:pPr>
    </w:p>
    <w:p w14:paraId="0DF469F1" w14:textId="77777777" w:rsidR="000436BE" w:rsidRDefault="00000000">
      <w:pPr>
        <w:pStyle w:val="ListParagraph"/>
        <w:numPr>
          <w:ilvl w:val="1"/>
          <w:numId w:val="2"/>
        </w:numPr>
        <w:tabs>
          <w:tab w:val="left" w:pos="761"/>
          <w:tab w:val="left" w:pos="763"/>
        </w:tabs>
        <w:spacing w:line="276" w:lineRule="auto"/>
        <w:ind w:right="129"/>
        <w:jc w:val="both"/>
      </w:pPr>
      <w:r>
        <w:t>The Consultant will reach the venue of the Assignment at least half an hour prior to the commencement of Assignment.</w:t>
      </w:r>
    </w:p>
    <w:p w14:paraId="7490EE88" w14:textId="77777777" w:rsidR="000436BE" w:rsidRDefault="000436BE">
      <w:pPr>
        <w:pStyle w:val="BodyText"/>
        <w:spacing w:before="39"/>
      </w:pPr>
    </w:p>
    <w:p w14:paraId="771BC925" w14:textId="77777777" w:rsidR="000436BE" w:rsidRDefault="00000000">
      <w:pPr>
        <w:pStyle w:val="ListParagraph"/>
        <w:numPr>
          <w:ilvl w:val="1"/>
          <w:numId w:val="2"/>
        </w:numPr>
        <w:tabs>
          <w:tab w:val="left" w:pos="761"/>
          <w:tab w:val="left" w:pos="763"/>
        </w:tabs>
        <w:spacing w:before="1" w:line="276" w:lineRule="auto"/>
        <w:ind w:right="120"/>
        <w:jc w:val="both"/>
      </w:pPr>
      <w:r>
        <w:t>The</w:t>
      </w:r>
      <w:r>
        <w:rPr>
          <w:spacing w:val="-1"/>
        </w:rPr>
        <w:t xml:space="preserve"> </w:t>
      </w:r>
      <w:r>
        <w:t xml:space="preserve">Trainer will have to adhere to the Trainer Payment policy document as shared in the attached mailer for timely credit of payment to his/her </w:t>
      </w:r>
      <w:r>
        <w:rPr>
          <w:spacing w:val="-2"/>
        </w:rPr>
        <w:t>account.</w:t>
      </w:r>
    </w:p>
    <w:p w14:paraId="00008675" w14:textId="77777777" w:rsidR="000436BE" w:rsidRDefault="000436BE">
      <w:pPr>
        <w:pStyle w:val="BodyText"/>
        <w:spacing w:before="38"/>
      </w:pPr>
    </w:p>
    <w:p w14:paraId="2F32ED47" w14:textId="77777777" w:rsidR="000436BE" w:rsidRDefault="00000000">
      <w:pPr>
        <w:pStyle w:val="ListParagraph"/>
        <w:numPr>
          <w:ilvl w:val="1"/>
          <w:numId w:val="2"/>
        </w:numPr>
        <w:tabs>
          <w:tab w:val="left" w:pos="761"/>
          <w:tab w:val="left" w:pos="763"/>
        </w:tabs>
        <w:spacing w:before="1" w:line="276" w:lineRule="auto"/>
        <w:ind w:right="131"/>
        <w:jc w:val="both"/>
      </w:pPr>
      <w:r>
        <w:t>The Trainer is required to maintain professional decorum and adhere to Training updates as mentioned in Trainer payment policy</w:t>
      </w:r>
    </w:p>
    <w:p w14:paraId="4FC58E2A" w14:textId="77777777" w:rsidR="000436BE" w:rsidRDefault="000436BE">
      <w:pPr>
        <w:pStyle w:val="BodyText"/>
        <w:spacing w:before="242"/>
      </w:pPr>
    </w:p>
    <w:p w14:paraId="68EBD2EC" w14:textId="77777777" w:rsidR="000436BE" w:rsidRDefault="00000000">
      <w:pPr>
        <w:ind w:left="62"/>
        <w:rPr>
          <w:rFonts w:ascii="Arial"/>
          <w:b/>
          <w:sz w:val="23"/>
        </w:rPr>
      </w:pPr>
      <w:r>
        <w:rPr>
          <w:rFonts w:ascii="Arial"/>
          <w:b/>
          <w:sz w:val="23"/>
        </w:rPr>
        <w:t>Annexure</w:t>
      </w:r>
      <w:r>
        <w:rPr>
          <w:rFonts w:ascii="Arial"/>
          <w:b/>
          <w:spacing w:val="-11"/>
          <w:sz w:val="23"/>
        </w:rPr>
        <w:t xml:space="preserve"> </w:t>
      </w:r>
      <w:r>
        <w:rPr>
          <w:rFonts w:ascii="Arial"/>
          <w:b/>
          <w:sz w:val="23"/>
        </w:rPr>
        <w:t>II:</w:t>
      </w:r>
      <w:r>
        <w:rPr>
          <w:rFonts w:ascii="Arial"/>
          <w:b/>
          <w:spacing w:val="-2"/>
          <w:sz w:val="23"/>
        </w:rPr>
        <w:t xml:space="preserve"> </w:t>
      </w:r>
      <w:r>
        <w:rPr>
          <w:rFonts w:ascii="Arial"/>
          <w:b/>
          <w:sz w:val="23"/>
        </w:rPr>
        <w:t>Roles</w:t>
      </w:r>
      <w:r>
        <w:rPr>
          <w:rFonts w:ascii="Arial"/>
          <w:b/>
          <w:spacing w:val="-10"/>
          <w:sz w:val="23"/>
        </w:rPr>
        <w:t xml:space="preserve"> </w:t>
      </w:r>
      <w:r>
        <w:rPr>
          <w:rFonts w:ascii="Arial"/>
          <w:b/>
          <w:sz w:val="23"/>
        </w:rPr>
        <w:t>and</w:t>
      </w:r>
      <w:r>
        <w:rPr>
          <w:rFonts w:ascii="Arial"/>
          <w:b/>
          <w:spacing w:val="-16"/>
          <w:sz w:val="23"/>
        </w:rPr>
        <w:t xml:space="preserve"> </w:t>
      </w:r>
      <w:r>
        <w:rPr>
          <w:rFonts w:ascii="Arial"/>
          <w:b/>
          <w:sz w:val="23"/>
        </w:rPr>
        <w:t>responsibilities</w:t>
      </w:r>
      <w:r>
        <w:rPr>
          <w:rFonts w:ascii="Arial"/>
          <w:b/>
          <w:spacing w:val="-9"/>
          <w:sz w:val="23"/>
        </w:rPr>
        <w:t xml:space="preserve"> </w:t>
      </w:r>
      <w:r>
        <w:rPr>
          <w:rFonts w:ascii="Arial"/>
          <w:b/>
          <w:sz w:val="23"/>
        </w:rPr>
        <w:t>of</w:t>
      </w:r>
      <w:r>
        <w:rPr>
          <w:rFonts w:ascii="Arial"/>
          <w:b/>
          <w:spacing w:val="-11"/>
          <w:sz w:val="23"/>
        </w:rPr>
        <w:t xml:space="preserve"> </w:t>
      </w:r>
      <w:r>
        <w:rPr>
          <w:rFonts w:ascii="Arial"/>
          <w:b/>
          <w:spacing w:val="-2"/>
          <w:sz w:val="23"/>
        </w:rPr>
        <w:t>Principal</w:t>
      </w:r>
    </w:p>
    <w:p w14:paraId="3A0796A1" w14:textId="77777777" w:rsidR="000436BE" w:rsidRDefault="000436BE">
      <w:pPr>
        <w:pStyle w:val="BodyText"/>
        <w:rPr>
          <w:rFonts w:ascii="Arial"/>
          <w:b/>
          <w:sz w:val="23"/>
        </w:rPr>
      </w:pPr>
    </w:p>
    <w:p w14:paraId="502A71BC" w14:textId="77777777" w:rsidR="000436BE" w:rsidRDefault="000436BE">
      <w:pPr>
        <w:pStyle w:val="BodyText"/>
        <w:spacing w:before="56"/>
        <w:rPr>
          <w:rFonts w:ascii="Arial"/>
          <w:b/>
          <w:sz w:val="23"/>
        </w:rPr>
      </w:pPr>
    </w:p>
    <w:p w14:paraId="075A0B92" w14:textId="77777777" w:rsidR="000436BE" w:rsidRDefault="00000000">
      <w:pPr>
        <w:pStyle w:val="ListParagraph"/>
        <w:numPr>
          <w:ilvl w:val="0"/>
          <w:numId w:val="1"/>
        </w:numPr>
        <w:tabs>
          <w:tab w:val="left" w:pos="762"/>
        </w:tabs>
        <w:ind w:left="762" w:right="0" w:hanging="282"/>
        <w:rPr>
          <w:rFonts w:ascii="Arial MT"/>
          <w:sz w:val="23"/>
        </w:rPr>
      </w:pPr>
      <w:r>
        <w:rPr>
          <w:rFonts w:ascii="Arial MT"/>
          <w:sz w:val="23"/>
        </w:rPr>
        <w:t>All</w:t>
      </w:r>
      <w:r>
        <w:rPr>
          <w:rFonts w:ascii="Arial MT"/>
          <w:spacing w:val="-11"/>
          <w:sz w:val="23"/>
        </w:rPr>
        <w:t xml:space="preserve"> </w:t>
      </w:r>
      <w:r>
        <w:rPr>
          <w:rFonts w:ascii="Arial MT"/>
          <w:sz w:val="23"/>
        </w:rPr>
        <w:t>the</w:t>
      </w:r>
      <w:r>
        <w:rPr>
          <w:rFonts w:ascii="Arial MT"/>
          <w:spacing w:val="-1"/>
          <w:sz w:val="23"/>
        </w:rPr>
        <w:t xml:space="preserve"> </w:t>
      </w:r>
      <w:r>
        <w:rPr>
          <w:rFonts w:ascii="Arial MT"/>
          <w:sz w:val="23"/>
        </w:rPr>
        <w:t>marketing activity</w:t>
      </w:r>
      <w:r>
        <w:rPr>
          <w:rFonts w:ascii="Arial MT"/>
          <w:spacing w:val="-16"/>
          <w:sz w:val="23"/>
        </w:rPr>
        <w:t xml:space="preserve"> </w:t>
      </w:r>
      <w:r>
        <w:rPr>
          <w:rFonts w:ascii="Arial MT"/>
          <w:sz w:val="23"/>
        </w:rPr>
        <w:t>to</w:t>
      </w:r>
      <w:r>
        <w:rPr>
          <w:rFonts w:ascii="Arial MT"/>
          <w:spacing w:val="-1"/>
          <w:sz w:val="23"/>
        </w:rPr>
        <w:t xml:space="preserve"> </w:t>
      </w:r>
      <w:r>
        <w:rPr>
          <w:rFonts w:ascii="Arial MT"/>
          <w:sz w:val="23"/>
        </w:rPr>
        <w:t>get</w:t>
      </w:r>
      <w:r>
        <w:rPr>
          <w:rFonts w:ascii="Arial MT"/>
          <w:spacing w:val="-9"/>
          <w:sz w:val="23"/>
        </w:rPr>
        <w:t xml:space="preserve"> </w:t>
      </w:r>
      <w:r>
        <w:rPr>
          <w:rFonts w:ascii="Arial MT"/>
          <w:sz w:val="23"/>
        </w:rPr>
        <w:t>the</w:t>
      </w:r>
      <w:r>
        <w:rPr>
          <w:rFonts w:ascii="Arial MT"/>
          <w:spacing w:val="-7"/>
          <w:sz w:val="23"/>
        </w:rPr>
        <w:t xml:space="preserve"> </w:t>
      </w:r>
      <w:r>
        <w:rPr>
          <w:rFonts w:ascii="Arial MT"/>
          <w:sz w:val="23"/>
        </w:rPr>
        <w:t>Assignment</w:t>
      </w:r>
      <w:r>
        <w:rPr>
          <w:rFonts w:ascii="Arial MT"/>
          <w:spacing w:val="-5"/>
          <w:sz w:val="23"/>
        </w:rPr>
        <w:t xml:space="preserve"> </w:t>
      </w:r>
      <w:r>
        <w:rPr>
          <w:rFonts w:ascii="Arial MT"/>
          <w:sz w:val="23"/>
        </w:rPr>
        <w:t>will</w:t>
      </w:r>
      <w:r>
        <w:rPr>
          <w:rFonts w:ascii="Arial MT"/>
          <w:spacing w:val="-9"/>
          <w:sz w:val="23"/>
        </w:rPr>
        <w:t xml:space="preserve"> </w:t>
      </w:r>
      <w:r>
        <w:rPr>
          <w:rFonts w:ascii="Arial MT"/>
          <w:sz w:val="23"/>
        </w:rPr>
        <w:t>be</w:t>
      </w:r>
      <w:r>
        <w:rPr>
          <w:rFonts w:ascii="Arial MT"/>
          <w:spacing w:val="-6"/>
          <w:sz w:val="23"/>
        </w:rPr>
        <w:t xml:space="preserve"> </w:t>
      </w:r>
      <w:r>
        <w:rPr>
          <w:rFonts w:ascii="Arial MT"/>
          <w:sz w:val="23"/>
        </w:rPr>
        <w:t>done</w:t>
      </w:r>
      <w:r>
        <w:rPr>
          <w:rFonts w:ascii="Arial MT"/>
          <w:spacing w:val="-2"/>
          <w:sz w:val="23"/>
        </w:rPr>
        <w:t xml:space="preserve"> </w:t>
      </w:r>
      <w:r>
        <w:rPr>
          <w:rFonts w:ascii="Arial MT"/>
          <w:sz w:val="23"/>
        </w:rPr>
        <w:t>by</w:t>
      </w:r>
      <w:r>
        <w:rPr>
          <w:rFonts w:ascii="Arial MT"/>
          <w:spacing w:val="-16"/>
          <w:sz w:val="23"/>
        </w:rPr>
        <w:t xml:space="preserve"> </w:t>
      </w:r>
      <w:r>
        <w:rPr>
          <w:rFonts w:ascii="Arial MT"/>
          <w:sz w:val="23"/>
        </w:rPr>
        <w:t>the</w:t>
      </w:r>
      <w:r>
        <w:rPr>
          <w:rFonts w:ascii="Arial MT"/>
          <w:spacing w:val="-1"/>
          <w:sz w:val="23"/>
        </w:rPr>
        <w:t xml:space="preserve"> </w:t>
      </w:r>
      <w:r>
        <w:rPr>
          <w:rFonts w:ascii="Arial MT"/>
          <w:spacing w:val="-2"/>
          <w:sz w:val="23"/>
        </w:rPr>
        <w:t>Principal.</w:t>
      </w:r>
    </w:p>
    <w:p w14:paraId="247AA473" w14:textId="77777777" w:rsidR="000436BE" w:rsidRDefault="000436BE">
      <w:pPr>
        <w:pStyle w:val="BodyText"/>
        <w:spacing w:before="263"/>
        <w:rPr>
          <w:rFonts w:ascii="Arial MT"/>
          <w:sz w:val="23"/>
        </w:rPr>
      </w:pPr>
    </w:p>
    <w:p w14:paraId="1003A367" w14:textId="77777777" w:rsidR="000436BE" w:rsidRDefault="00000000">
      <w:pPr>
        <w:pStyle w:val="ListParagraph"/>
        <w:numPr>
          <w:ilvl w:val="0"/>
          <w:numId w:val="1"/>
        </w:numPr>
        <w:tabs>
          <w:tab w:val="left" w:pos="761"/>
          <w:tab w:val="left" w:pos="763"/>
        </w:tabs>
        <w:ind w:right="132"/>
        <w:jc w:val="both"/>
        <w:rPr>
          <w:rFonts w:ascii="Arial MT"/>
          <w:sz w:val="23"/>
        </w:rPr>
      </w:pPr>
      <w:r>
        <w:rPr>
          <w:rFonts w:ascii="Arial MT"/>
          <w:sz w:val="23"/>
        </w:rPr>
        <w:t>The expenses incurred in photocopying and binding training material would be borne by the Principal.</w:t>
      </w:r>
    </w:p>
    <w:p w14:paraId="76A04ECD" w14:textId="77777777" w:rsidR="000436BE" w:rsidRDefault="000436BE">
      <w:pPr>
        <w:pStyle w:val="BodyText"/>
        <w:rPr>
          <w:rFonts w:ascii="Arial MT"/>
          <w:sz w:val="23"/>
        </w:rPr>
      </w:pPr>
    </w:p>
    <w:p w14:paraId="7EFC0B00" w14:textId="77777777" w:rsidR="000436BE" w:rsidRDefault="000436BE">
      <w:pPr>
        <w:pStyle w:val="BodyText"/>
        <w:spacing w:before="3"/>
        <w:rPr>
          <w:rFonts w:ascii="Arial MT"/>
          <w:sz w:val="23"/>
        </w:rPr>
      </w:pPr>
    </w:p>
    <w:p w14:paraId="263EFB02" w14:textId="77777777" w:rsidR="000436BE" w:rsidRDefault="00000000">
      <w:pPr>
        <w:pStyle w:val="ListParagraph"/>
        <w:numPr>
          <w:ilvl w:val="0"/>
          <w:numId w:val="1"/>
        </w:numPr>
        <w:tabs>
          <w:tab w:val="left" w:pos="761"/>
          <w:tab w:val="left" w:pos="763"/>
        </w:tabs>
        <w:spacing w:before="1" w:line="242" w:lineRule="auto"/>
        <w:ind w:right="132"/>
        <w:jc w:val="both"/>
        <w:rPr>
          <w:rFonts w:ascii="Arial MT"/>
          <w:sz w:val="23"/>
        </w:rPr>
      </w:pPr>
      <w:r>
        <w:rPr>
          <w:rFonts w:ascii="Arial MT"/>
          <w:sz w:val="23"/>
        </w:rPr>
        <w:t xml:space="preserve">The Principal shall reimburse the Consultant for the cost of the outstation travel, stay, and his/ her other reasonable expenses if mutually agreed </w:t>
      </w:r>
      <w:proofErr w:type="spellStart"/>
      <w:r>
        <w:rPr>
          <w:rFonts w:ascii="Arial MT"/>
          <w:sz w:val="23"/>
        </w:rPr>
        <w:t xml:space="preserve">before </w:t>
      </w:r>
      <w:r>
        <w:rPr>
          <w:rFonts w:ascii="Arial MT"/>
          <w:spacing w:val="-2"/>
          <w:sz w:val="23"/>
        </w:rPr>
        <w:t>hand</w:t>
      </w:r>
      <w:proofErr w:type="spellEnd"/>
      <w:r>
        <w:rPr>
          <w:rFonts w:ascii="Arial MT"/>
          <w:spacing w:val="-2"/>
          <w:sz w:val="23"/>
        </w:rPr>
        <w:t>.</w:t>
      </w:r>
    </w:p>
    <w:p w14:paraId="593046E1" w14:textId="77777777" w:rsidR="000436BE" w:rsidRDefault="000436BE">
      <w:pPr>
        <w:pStyle w:val="BodyText"/>
        <w:spacing w:before="186"/>
        <w:rPr>
          <w:rFonts w:ascii="Arial MT"/>
          <w:sz w:val="23"/>
        </w:rPr>
      </w:pPr>
    </w:p>
    <w:p w14:paraId="2C1C06B2" w14:textId="77777777" w:rsidR="000436BE" w:rsidRDefault="00000000">
      <w:pPr>
        <w:pStyle w:val="ListParagraph"/>
        <w:numPr>
          <w:ilvl w:val="0"/>
          <w:numId w:val="1"/>
        </w:numPr>
        <w:tabs>
          <w:tab w:val="left" w:pos="761"/>
          <w:tab w:val="left" w:pos="763"/>
        </w:tabs>
        <w:spacing w:before="1" w:line="244" w:lineRule="auto"/>
        <w:ind w:right="146"/>
        <w:jc w:val="both"/>
        <w:rPr>
          <w:rFonts w:ascii="Arial MT"/>
          <w:sz w:val="23"/>
        </w:rPr>
      </w:pPr>
      <w:r>
        <w:rPr>
          <w:rFonts w:ascii="Arial MT"/>
          <w:sz w:val="23"/>
        </w:rPr>
        <w:t>The Principal will be the main contact person for the client and consultant for any references or administrative matters</w:t>
      </w:r>
    </w:p>
    <w:p w14:paraId="4A39B627" w14:textId="77777777" w:rsidR="000436BE" w:rsidRDefault="000436BE">
      <w:pPr>
        <w:pStyle w:val="BodyText"/>
        <w:spacing w:before="252"/>
        <w:rPr>
          <w:rFonts w:ascii="Arial MT"/>
          <w:sz w:val="23"/>
        </w:rPr>
      </w:pPr>
    </w:p>
    <w:p w14:paraId="230DC7B1" w14:textId="77777777" w:rsidR="000436BE" w:rsidRDefault="00000000">
      <w:pPr>
        <w:spacing w:line="364" w:lineRule="auto"/>
        <w:ind w:left="62"/>
        <w:rPr>
          <w:rFonts w:ascii="Arial"/>
          <w:b/>
          <w:sz w:val="23"/>
        </w:rPr>
      </w:pPr>
      <w:r>
        <w:rPr>
          <w:rFonts w:ascii="Arial MT"/>
          <w:sz w:val="23"/>
        </w:rPr>
        <w:t>I</w:t>
      </w:r>
      <w:r>
        <w:rPr>
          <w:rFonts w:ascii="Arial"/>
          <w:b/>
          <w:sz w:val="23"/>
        </w:rPr>
        <w:t>N</w:t>
      </w:r>
      <w:r>
        <w:rPr>
          <w:rFonts w:ascii="Arial"/>
          <w:b/>
          <w:spacing w:val="-2"/>
          <w:sz w:val="23"/>
        </w:rPr>
        <w:t xml:space="preserve"> </w:t>
      </w:r>
      <w:r>
        <w:rPr>
          <w:rFonts w:ascii="Arial"/>
          <w:b/>
          <w:sz w:val="23"/>
        </w:rPr>
        <w:t>WITNESS</w:t>
      </w:r>
      <w:r>
        <w:rPr>
          <w:rFonts w:ascii="Arial"/>
          <w:b/>
          <w:spacing w:val="-8"/>
          <w:sz w:val="23"/>
        </w:rPr>
        <w:t xml:space="preserve"> </w:t>
      </w:r>
      <w:r>
        <w:rPr>
          <w:rFonts w:ascii="Arial"/>
          <w:b/>
          <w:sz w:val="23"/>
        </w:rPr>
        <w:t>WHEREOF</w:t>
      </w:r>
      <w:r>
        <w:rPr>
          <w:rFonts w:ascii="Arial"/>
          <w:b/>
          <w:spacing w:val="-9"/>
          <w:sz w:val="23"/>
        </w:rPr>
        <w:t xml:space="preserve"> </w:t>
      </w:r>
      <w:r>
        <w:rPr>
          <w:rFonts w:ascii="Arial MT"/>
          <w:sz w:val="23"/>
        </w:rPr>
        <w:t>the</w:t>
      </w:r>
      <w:r>
        <w:rPr>
          <w:rFonts w:ascii="Arial MT"/>
          <w:spacing w:val="-7"/>
          <w:sz w:val="23"/>
        </w:rPr>
        <w:t xml:space="preserve"> </w:t>
      </w:r>
      <w:r>
        <w:rPr>
          <w:rFonts w:ascii="Arial MT"/>
          <w:sz w:val="23"/>
        </w:rPr>
        <w:t>parties</w:t>
      </w:r>
      <w:r>
        <w:rPr>
          <w:rFonts w:ascii="Arial MT"/>
          <w:spacing w:val="-8"/>
          <w:sz w:val="23"/>
        </w:rPr>
        <w:t xml:space="preserve"> </w:t>
      </w:r>
      <w:r>
        <w:rPr>
          <w:rFonts w:ascii="Arial MT"/>
          <w:sz w:val="23"/>
        </w:rPr>
        <w:t>hereto</w:t>
      </w:r>
      <w:r>
        <w:rPr>
          <w:rFonts w:ascii="Arial MT"/>
          <w:spacing w:val="-7"/>
          <w:sz w:val="23"/>
        </w:rPr>
        <w:t xml:space="preserve"> </w:t>
      </w:r>
      <w:r>
        <w:rPr>
          <w:rFonts w:ascii="Arial MT"/>
          <w:sz w:val="23"/>
        </w:rPr>
        <w:t>affixed</w:t>
      </w:r>
      <w:r>
        <w:rPr>
          <w:rFonts w:ascii="Arial MT"/>
          <w:spacing w:val="-6"/>
          <w:sz w:val="23"/>
        </w:rPr>
        <w:t xml:space="preserve"> </w:t>
      </w:r>
      <w:r>
        <w:rPr>
          <w:rFonts w:ascii="Arial MT"/>
          <w:sz w:val="23"/>
        </w:rPr>
        <w:t>their</w:t>
      </w:r>
      <w:r>
        <w:rPr>
          <w:rFonts w:ascii="Arial MT"/>
          <w:spacing w:val="-8"/>
          <w:sz w:val="23"/>
        </w:rPr>
        <w:t xml:space="preserve"> </w:t>
      </w:r>
      <w:r>
        <w:rPr>
          <w:rFonts w:ascii="Arial MT"/>
          <w:sz w:val="23"/>
        </w:rPr>
        <w:t>signatures</w:t>
      </w:r>
      <w:r>
        <w:rPr>
          <w:rFonts w:ascii="Arial MT"/>
          <w:spacing w:val="-7"/>
          <w:sz w:val="23"/>
        </w:rPr>
        <w:t xml:space="preserve"> </w:t>
      </w:r>
      <w:r>
        <w:rPr>
          <w:rFonts w:ascii="Arial MT"/>
          <w:sz w:val="23"/>
        </w:rPr>
        <w:t>on</w:t>
      </w:r>
      <w:r>
        <w:rPr>
          <w:rFonts w:ascii="Arial MT"/>
          <w:spacing w:val="-7"/>
          <w:sz w:val="23"/>
        </w:rPr>
        <w:t xml:space="preserve"> </w:t>
      </w:r>
      <w:r>
        <w:rPr>
          <w:rFonts w:ascii="Arial MT"/>
          <w:sz w:val="23"/>
        </w:rPr>
        <w:t>the</w:t>
      </w:r>
      <w:r>
        <w:rPr>
          <w:rFonts w:ascii="Arial MT"/>
          <w:spacing w:val="-7"/>
          <w:sz w:val="23"/>
        </w:rPr>
        <w:t xml:space="preserve"> </w:t>
      </w:r>
      <w:r>
        <w:rPr>
          <w:rFonts w:ascii="Arial MT"/>
          <w:sz w:val="23"/>
        </w:rPr>
        <w:t>day,</w:t>
      </w:r>
      <w:r>
        <w:rPr>
          <w:rFonts w:ascii="Arial MT"/>
          <w:spacing w:val="-10"/>
          <w:sz w:val="23"/>
        </w:rPr>
        <w:t xml:space="preserve"> </w:t>
      </w:r>
      <w:r>
        <w:rPr>
          <w:rFonts w:ascii="Arial MT"/>
          <w:sz w:val="23"/>
        </w:rPr>
        <w:t>month and year mentioned hereinabove</w:t>
      </w:r>
      <w:r>
        <w:rPr>
          <w:rFonts w:ascii="Arial"/>
          <w:b/>
          <w:sz w:val="23"/>
        </w:rPr>
        <w:t>.</w:t>
      </w:r>
    </w:p>
    <w:p w14:paraId="62B29CC0" w14:textId="77777777" w:rsidR="000436BE" w:rsidRDefault="000436BE">
      <w:pPr>
        <w:pStyle w:val="BodyText"/>
        <w:spacing w:before="12"/>
        <w:rPr>
          <w:rFonts w:ascii="Arial"/>
          <w:b/>
          <w:sz w:val="23"/>
        </w:rPr>
      </w:pPr>
    </w:p>
    <w:p w14:paraId="79346E94" w14:textId="77777777" w:rsidR="000436BE" w:rsidRDefault="00000000">
      <w:pPr>
        <w:tabs>
          <w:tab w:val="left" w:pos="6669"/>
        </w:tabs>
        <w:ind w:left="62"/>
        <w:rPr>
          <w:rFonts w:ascii="Arial MT"/>
        </w:rPr>
      </w:pPr>
      <w:r>
        <w:rPr>
          <w:rFonts w:ascii="Arial MT"/>
          <w:sz w:val="23"/>
        </w:rPr>
        <w:t>(Authorized</w:t>
      </w:r>
      <w:r>
        <w:rPr>
          <w:rFonts w:ascii="Arial MT"/>
          <w:spacing w:val="-10"/>
          <w:sz w:val="23"/>
        </w:rPr>
        <w:t xml:space="preserve"> </w:t>
      </w:r>
      <w:r>
        <w:rPr>
          <w:rFonts w:ascii="Arial MT"/>
          <w:spacing w:val="-2"/>
          <w:sz w:val="23"/>
        </w:rPr>
        <w:t>Signatory)</w:t>
      </w:r>
      <w:r>
        <w:rPr>
          <w:rFonts w:ascii="Arial MT"/>
          <w:sz w:val="23"/>
        </w:rPr>
        <w:tab/>
      </w:r>
      <w:r>
        <w:rPr>
          <w:rFonts w:ascii="Arial"/>
          <w:b/>
          <w:spacing w:val="-2"/>
        </w:rPr>
        <w:t>Mr./Ms</w:t>
      </w:r>
      <w:r>
        <w:rPr>
          <w:rFonts w:ascii="Arial MT"/>
          <w:spacing w:val="-2"/>
        </w:rPr>
        <w:t>.</w:t>
      </w:r>
    </w:p>
    <w:p w14:paraId="6B831521" w14:textId="77777777" w:rsidR="000436BE" w:rsidRDefault="000436BE">
      <w:pPr>
        <w:pStyle w:val="BodyText"/>
        <w:rPr>
          <w:rFonts w:ascii="Arial MT"/>
          <w:sz w:val="23"/>
        </w:rPr>
      </w:pPr>
    </w:p>
    <w:p w14:paraId="1ECE8C73" w14:textId="77777777" w:rsidR="000436BE" w:rsidRDefault="000436BE">
      <w:pPr>
        <w:pStyle w:val="BodyText"/>
        <w:rPr>
          <w:rFonts w:ascii="Arial MT"/>
          <w:sz w:val="23"/>
        </w:rPr>
      </w:pPr>
    </w:p>
    <w:p w14:paraId="74EEDC2F" w14:textId="77777777" w:rsidR="000436BE" w:rsidRDefault="000436BE">
      <w:pPr>
        <w:pStyle w:val="BodyText"/>
        <w:spacing w:before="3"/>
        <w:rPr>
          <w:rFonts w:ascii="Arial MT"/>
          <w:sz w:val="23"/>
        </w:rPr>
      </w:pPr>
    </w:p>
    <w:p w14:paraId="0A81F110" w14:textId="77777777" w:rsidR="000436BE" w:rsidRDefault="00000000">
      <w:pPr>
        <w:ind w:left="62"/>
        <w:rPr>
          <w:rFonts w:ascii="Arial"/>
          <w:b/>
          <w:sz w:val="23"/>
        </w:rPr>
      </w:pPr>
      <w:r>
        <w:rPr>
          <w:rFonts w:ascii="Arial"/>
          <w:b/>
          <w:noProof/>
          <w:sz w:val="23"/>
        </w:rPr>
        <w:drawing>
          <wp:anchor distT="0" distB="0" distL="0" distR="0" simplePos="0" relativeHeight="15729152" behindDoc="0" locked="0" layoutInCell="1" allowOverlap="1" wp14:anchorId="3E72CED5" wp14:editId="55758A35">
            <wp:simplePos x="0" y="0"/>
            <wp:positionH relativeFrom="page">
              <wp:posOffset>1097280</wp:posOffset>
            </wp:positionH>
            <wp:positionV relativeFrom="paragraph">
              <wp:posOffset>-119471</wp:posOffset>
            </wp:positionV>
            <wp:extent cx="1282700" cy="2667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282700" cy="266700"/>
                    </a:xfrm>
                    <a:prstGeom prst="rect">
                      <a:avLst/>
                    </a:prstGeom>
                  </pic:spPr>
                </pic:pic>
              </a:graphicData>
            </a:graphic>
          </wp:anchor>
        </w:drawing>
      </w:r>
      <w:r>
        <w:rPr>
          <w:rFonts w:ascii="Arial"/>
          <w:b/>
          <w:spacing w:val="-5"/>
          <w:sz w:val="23"/>
        </w:rPr>
        <w:t>For</w:t>
      </w:r>
    </w:p>
    <w:p w14:paraId="36099B33" w14:textId="77777777" w:rsidR="000436BE" w:rsidRDefault="00000000">
      <w:pPr>
        <w:spacing w:before="9" w:line="264" w:lineRule="exact"/>
        <w:ind w:left="62"/>
        <w:rPr>
          <w:rFonts w:ascii="Arial"/>
          <w:b/>
          <w:sz w:val="23"/>
        </w:rPr>
      </w:pPr>
      <w:r>
        <w:rPr>
          <w:rFonts w:ascii="Arial"/>
          <w:b/>
          <w:sz w:val="23"/>
        </w:rPr>
        <w:t>Project</w:t>
      </w:r>
      <w:r>
        <w:rPr>
          <w:rFonts w:ascii="Arial"/>
          <w:b/>
          <w:spacing w:val="-7"/>
          <w:sz w:val="23"/>
        </w:rPr>
        <w:t xml:space="preserve"> </w:t>
      </w:r>
      <w:r>
        <w:rPr>
          <w:rFonts w:ascii="Arial"/>
          <w:b/>
          <w:spacing w:val="-2"/>
          <w:sz w:val="23"/>
        </w:rPr>
        <w:t>Manager</w:t>
      </w:r>
    </w:p>
    <w:p w14:paraId="2993C9B2" w14:textId="77777777" w:rsidR="000436BE" w:rsidRDefault="00000000">
      <w:pPr>
        <w:tabs>
          <w:tab w:val="left" w:pos="6607"/>
        </w:tabs>
        <w:spacing w:line="264" w:lineRule="exact"/>
        <w:ind w:left="62"/>
        <w:rPr>
          <w:rFonts w:ascii="Arial"/>
          <w:b/>
          <w:sz w:val="23"/>
        </w:rPr>
      </w:pPr>
      <w:r>
        <w:rPr>
          <w:rFonts w:ascii="Arial"/>
          <w:b/>
          <w:sz w:val="23"/>
        </w:rPr>
        <w:t>Splinter</w:t>
      </w:r>
      <w:r>
        <w:rPr>
          <w:rFonts w:ascii="Arial"/>
          <w:b/>
          <w:spacing w:val="-11"/>
          <w:sz w:val="23"/>
        </w:rPr>
        <w:t xml:space="preserve"> </w:t>
      </w:r>
      <w:r>
        <w:rPr>
          <w:rFonts w:ascii="Arial"/>
          <w:b/>
          <w:sz w:val="23"/>
        </w:rPr>
        <w:t>Learning</w:t>
      </w:r>
      <w:r>
        <w:rPr>
          <w:rFonts w:ascii="Arial"/>
          <w:b/>
          <w:spacing w:val="-16"/>
          <w:sz w:val="23"/>
        </w:rPr>
        <w:t xml:space="preserve"> </w:t>
      </w:r>
      <w:r>
        <w:rPr>
          <w:rFonts w:ascii="Arial"/>
          <w:b/>
          <w:sz w:val="23"/>
        </w:rPr>
        <w:t>Solutions</w:t>
      </w:r>
      <w:r>
        <w:rPr>
          <w:rFonts w:ascii="Arial"/>
          <w:b/>
          <w:spacing w:val="-8"/>
          <w:sz w:val="23"/>
        </w:rPr>
        <w:t xml:space="preserve"> </w:t>
      </w:r>
      <w:r>
        <w:rPr>
          <w:rFonts w:ascii="Arial"/>
          <w:b/>
          <w:spacing w:val="-5"/>
          <w:sz w:val="23"/>
        </w:rPr>
        <w:t>LLP</w:t>
      </w:r>
      <w:r>
        <w:rPr>
          <w:rFonts w:ascii="Arial"/>
          <w:b/>
          <w:sz w:val="23"/>
        </w:rPr>
        <w:tab/>
      </w:r>
      <w:r>
        <w:rPr>
          <w:rFonts w:ascii="Arial"/>
          <w:b/>
          <w:spacing w:val="-2"/>
          <w:sz w:val="23"/>
        </w:rPr>
        <w:t>Consultant</w:t>
      </w:r>
    </w:p>
    <w:sectPr w:rsidR="000436BE">
      <w:pgSz w:w="11900" w:h="16840"/>
      <w:pgMar w:top="680" w:right="1275" w:bottom="280" w:left="1700" w:header="720" w:footer="720" w:gutter="0"/>
      <w:pgBorders w:offsetFrom="page">
        <w:top w:val="single" w:sz="18" w:space="24" w:color="006EC0"/>
        <w:left w:val="single" w:sz="18" w:space="24" w:color="006EC0"/>
        <w:bottom w:val="single" w:sz="18" w:space="24" w:color="006EC0"/>
        <w:right w:val="single" w:sz="18" w:space="24" w:color="006E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8496C"/>
    <w:multiLevelType w:val="hybridMultilevel"/>
    <w:tmpl w:val="06B228C0"/>
    <w:lvl w:ilvl="0" w:tplc="A0D456FA">
      <w:start w:val="1"/>
      <w:numFmt w:val="decimal"/>
      <w:lvlText w:val="%1."/>
      <w:lvlJc w:val="left"/>
      <w:pPr>
        <w:ind w:left="763" w:hanging="284"/>
        <w:jc w:val="left"/>
      </w:pPr>
      <w:rPr>
        <w:rFonts w:ascii="Arial MT" w:eastAsia="Arial MT" w:hAnsi="Arial MT" w:cs="Arial MT" w:hint="default"/>
        <w:b w:val="0"/>
        <w:bCs w:val="0"/>
        <w:i w:val="0"/>
        <w:iCs w:val="0"/>
        <w:spacing w:val="0"/>
        <w:w w:val="100"/>
        <w:sz w:val="23"/>
        <w:szCs w:val="23"/>
        <w:lang w:val="en-US" w:eastAsia="en-US" w:bidi="ar-SA"/>
      </w:rPr>
    </w:lvl>
    <w:lvl w:ilvl="1" w:tplc="4E9E932E">
      <w:numFmt w:val="bullet"/>
      <w:lvlText w:val="•"/>
      <w:lvlJc w:val="left"/>
      <w:pPr>
        <w:ind w:left="1576" w:hanging="284"/>
      </w:pPr>
      <w:rPr>
        <w:rFonts w:hint="default"/>
        <w:lang w:val="en-US" w:eastAsia="en-US" w:bidi="ar-SA"/>
      </w:rPr>
    </w:lvl>
    <w:lvl w:ilvl="2" w:tplc="B526EC9E">
      <w:numFmt w:val="bullet"/>
      <w:lvlText w:val="•"/>
      <w:lvlJc w:val="left"/>
      <w:pPr>
        <w:ind w:left="2392" w:hanging="284"/>
      </w:pPr>
      <w:rPr>
        <w:rFonts w:hint="default"/>
        <w:lang w:val="en-US" w:eastAsia="en-US" w:bidi="ar-SA"/>
      </w:rPr>
    </w:lvl>
    <w:lvl w:ilvl="3" w:tplc="2B748E8C">
      <w:numFmt w:val="bullet"/>
      <w:lvlText w:val="•"/>
      <w:lvlJc w:val="left"/>
      <w:pPr>
        <w:ind w:left="3209" w:hanging="284"/>
      </w:pPr>
      <w:rPr>
        <w:rFonts w:hint="default"/>
        <w:lang w:val="en-US" w:eastAsia="en-US" w:bidi="ar-SA"/>
      </w:rPr>
    </w:lvl>
    <w:lvl w:ilvl="4" w:tplc="20A4BDE4">
      <w:numFmt w:val="bullet"/>
      <w:lvlText w:val="•"/>
      <w:lvlJc w:val="left"/>
      <w:pPr>
        <w:ind w:left="4025" w:hanging="284"/>
      </w:pPr>
      <w:rPr>
        <w:rFonts w:hint="default"/>
        <w:lang w:val="en-US" w:eastAsia="en-US" w:bidi="ar-SA"/>
      </w:rPr>
    </w:lvl>
    <w:lvl w:ilvl="5" w:tplc="61A2D796">
      <w:numFmt w:val="bullet"/>
      <w:lvlText w:val="•"/>
      <w:lvlJc w:val="left"/>
      <w:pPr>
        <w:ind w:left="4842" w:hanging="284"/>
      </w:pPr>
      <w:rPr>
        <w:rFonts w:hint="default"/>
        <w:lang w:val="en-US" w:eastAsia="en-US" w:bidi="ar-SA"/>
      </w:rPr>
    </w:lvl>
    <w:lvl w:ilvl="6" w:tplc="5582D07A">
      <w:numFmt w:val="bullet"/>
      <w:lvlText w:val="•"/>
      <w:lvlJc w:val="left"/>
      <w:pPr>
        <w:ind w:left="5658" w:hanging="284"/>
      </w:pPr>
      <w:rPr>
        <w:rFonts w:hint="default"/>
        <w:lang w:val="en-US" w:eastAsia="en-US" w:bidi="ar-SA"/>
      </w:rPr>
    </w:lvl>
    <w:lvl w:ilvl="7" w:tplc="4F409C1A">
      <w:numFmt w:val="bullet"/>
      <w:lvlText w:val="•"/>
      <w:lvlJc w:val="left"/>
      <w:pPr>
        <w:ind w:left="6474" w:hanging="284"/>
      </w:pPr>
      <w:rPr>
        <w:rFonts w:hint="default"/>
        <w:lang w:val="en-US" w:eastAsia="en-US" w:bidi="ar-SA"/>
      </w:rPr>
    </w:lvl>
    <w:lvl w:ilvl="8" w:tplc="054223CA">
      <w:numFmt w:val="bullet"/>
      <w:lvlText w:val="•"/>
      <w:lvlJc w:val="left"/>
      <w:pPr>
        <w:ind w:left="7291" w:hanging="284"/>
      </w:pPr>
      <w:rPr>
        <w:rFonts w:hint="default"/>
        <w:lang w:val="en-US" w:eastAsia="en-US" w:bidi="ar-SA"/>
      </w:rPr>
    </w:lvl>
  </w:abstractNum>
  <w:abstractNum w:abstractNumId="1" w15:restartNumberingAfterBreak="0">
    <w:nsid w:val="5BE06B94"/>
    <w:multiLevelType w:val="hybridMultilevel"/>
    <w:tmpl w:val="C55296D6"/>
    <w:lvl w:ilvl="0" w:tplc="3594D776">
      <w:start w:val="1"/>
      <w:numFmt w:val="decimal"/>
      <w:lvlText w:val="%1."/>
      <w:lvlJc w:val="left"/>
      <w:pPr>
        <w:ind w:left="485" w:hanging="418"/>
        <w:jc w:val="left"/>
      </w:pPr>
      <w:rPr>
        <w:rFonts w:hint="default"/>
        <w:spacing w:val="0"/>
        <w:w w:val="100"/>
        <w:lang w:val="en-US" w:eastAsia="en-US" w:bidi="ar-SA"/>
      </w:rPr>
    </w:lvl>
    <w:lvl w:ilvl="1" w:tplc="7FAC54DC">
      <w:start w:val="1"/>
      <w:numFmt w:val="decimal"/>
      <w:lvlText w:val="%2."/>
      <w:lvlJc w:val="left"/>
      <w:pPr>
        <w:ind w:left="763" w:hanging="351"/>
        <w:jc w:val="left"/>
      </w:pPr>
      <w:rPr>
        <w:rFonts w:ascii="Verdana" w:eastAsia="Verdana" w:hAnsi="Verdana" w:cs="Verdana" w:hint="default"/>
        <w:b w:val="0"/>
        <w:bCs w:val="0"/>
        <w:i w:val="0"/>
        <w:iCs w:val="0"/>
        <w:spacing w:val="-2"/>
        <w:w w:val="100"/>
        <w:sz w:val="22"/>
        <w:szCs w:val="22"/>
        <w:lang w:val="en-US" w:eastAsia="en-US" w:bidi="ar-SA"/>
      </w:rPr>
    </w:lvl>
    <w:lvl w:ilvl="2" w:tplc="D248AFE8">
      <w:numFmt w:val="bullet"/>
      <w:lvlText w:val="•"/>
      <w:lvlJc w:val="left"/>
      <w:pPr>
        <w:ind w:left="1667" w:hanging="351"/>
      </w:pPr>
      <w:rPr>
        <w:rFonts w:hint="default"/>
        <w:lang w:val="en-US" w:eastAsia="en-US" w:bidi="ar-SA"/>
      </w:rPr>
    </w:lvl>
    <w:lvl w:ilvl="3" w:tplc="F260DC6A">
      <w:numFmt w:val="bullet"/>
      <w:lvlText w:val="•"/>
      <w:lvlJc w:val="left"/>
      <w:pPr>
        <w:ind w:left="2574" w:hanging="351"/>
      </w:pPr>
      <w:rPr>
        <w:rFonts w:hint="default"/>
        <w:lang w:val="en-US" w:eastAsia="en-US" w:bidi="ar-SA"/>
      </w:rPr>
    </w:lvl>
    <w:lvl w:ilvl="4" w:tplc="53F69170">
      <w:numFmt w:val="bullet"/>
      <w:lvlText w:val="•"/>
      <w:lvlJc w:val="left"/>
      <w:pPr>
        <w:ind w:left="3481" w:hanging="351"/>
      </w:pPr>
      <w:rPr>
        <w:rFonts w:hint="default"/>
        <w:lang w:val="en-US" w:eastAsia="en-US" w:bidi="ar-SA"/>
      </w:rPr>
    </w:lvl>
    <w:lvl w:ilvl="5" w:tplc="E3327E9E">
      <w:numFmt w:val="bullet"/>
      <w:lvlText w:val="•"/>
      <w:lvlJc w:val="left"/>
      <w:pPr>
        <w:ind w:left="4388" w:hanging="351"/>
      </w:pPr>
      <w:rPr>
        <w:rFonts w:hint="default"/>
        <w:lang w:val="en-US" w:eastAsia="en-US" w:bidi="ar-SA"/>
      </w:rPr>
    </w:lvl>
    <w:lvl w:ilvl="6" w:tplc="FE301258">
      <w:numFmt w:val="bullet"/>
      <w:lvlText w:val="•"/>
      <w:lvlJc w:val="left"/>
      <w:pPr>
        <w:ind w:left="5295" w:hanging="351"/>
      </w:pPr>
      <w:rPr>
        <w:rFonts w:hint="default"/>
        <w:lang w:val="en-US" w:eastAsia="en-US" w:bidi="ar-SA"/>
      </w:rPr>
    </w:lvl>
    <w:lvl w:ilvl="7" w:tplc="078AB784">
      <w:numFmt w:val="bullet"/>
      <w:lvlText w:val="•"/>
      <w:lvlJc w:val="left"/>
      <w:pPr>
        <w:ind w:left="6202" w:hanging="351"/>
      </w:pPr>
      <w:rPr>
        <w:rFonts w:hint="default"/>
        <w:lang w:val="en-US" w:eastAsia="en-US" w:bidi="ar-SA"/>
      </w:rPr>
    </w:lvl>
    <w:lvl w:ilvl="8" w:tplc="F38E170A">
      <w:numFmt w:val="bullet"/>
      <w:lvlText w:val="•"/>
      <w:lvlJc w:val="left"/>
      <w:pPr>
        <w:ind w:left="7109" w:hanging="351"/>
      </w:pPr>
      <w:rPr>
        <w:rFonts w:hint="default"/>
        <w:lang w:val="en-US" w:eastAsia="en-US" w:bidi="ar-SA"/>
      </w:rPr>
    </w:lvl>
  </w:abstractNum>
  <w:num w:numId="1" w16cid:durableId="1324427493">
    <w:abstractNumId w:val="0"/>
  </w:num>
  <w:num w:numId="2" w16cid:durableId="231475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436BE"/>
    <w:rsid w:val="000436BE"/>
    <w:rsid w:val="0030234E"/>
    <w:rsid w:val="003F3A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96A8"/>
  <w15:docId w15:val="{C429016D-146C-4504-BF8E-811A86AD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right="61"/>
      <w:jc w:val="center"/>
      <w:outlineLvl w:val="0"/>
    </w:pPr>
    <w:rPr>
      <w:rFonts w:ascii="Arial" w:eastAsia="Arial" w:hAnsi="Arial" w:cs="Arial"/>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63" w:right="119" w:hanging="41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Priya Nayak</cp:lastModifiedBy>
  <cp:revision>2</cp:revision>
  <dcterms:created xsi:type="dcterms:W3CDTF">2026-04-28T04:58:00Z</dcterms:created>
  <dcterms:modified xsi:type="dcterms:W3CDTF">2026-04-28T04:58:00Z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2025-05-07T00:00:00Z</vt:filetime>
  </property>
  <property fmtid="{D5CDD505-2E9C-101B-9397-08002B2CF9AE}" pid="4" name="Creator">
    <vt:lpwstr>Microsoft® Word 2016</vt:lpwstr>
  </property>
  <property fmtid="{D5CDD505-2E9C-101B-9397-08002B2CF9AE}" pid="5" name="LastSaved">
    <vt:filetime>2026-04-28T00:00:00Z</vt:filetime>
  </property>
  <property fmtid="{D5CDD505-2E9C-101B-9397-08002B2CF9AE}" pid="6" name="Producer">
    <vt:lpwstr>www.ilovepdf.com</vt:lpwstr>
  </property>
</Properties>
</file>