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507B" w14:textId="77777777" w:rsidR="00921764" w:rsidRDefault="00921764" w:rsidP="00921764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21D9A106" wp14:editId="35031A7A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l="8002" r="8002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B961B" wp14:editId="645A7734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1C482B" w14:textId="77777777" w:rsidR="00921764" w:rsidRPr="0094177D" w:rsidRDefault="00921764" w:rsidP="009217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1B96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161C482B" w14:textId="77777777" w:rsidR="00921764" w:rsidRPr="0094177D" w:rsidRDefault="00921764" w:rsidP="0092176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BE738" wp14:editId="61024DAC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46AE14" w14:textId="77777777" w:rsidR="00921764" w:rsidRPr="00EE07C3" w:rsidRDefault="00921764" w:rsidP="009217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BE738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4046AE14" w14:textId="77777777" w:rsidR="00921764" w:rsidRPr="00EE07C3" w:rsidRDefault="00921764" w:rsidP="0092176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055839" w14:textId="77777777" w:rsidR="00921764" w:rsidRDefault="00921764" w:rsidP="00921764">
      <w:pPr>
        <w:rPr>
          <w:noProof/>
        </w:rPr>
      </w:pPr>
    </w:p>
    <w:p w14:paraId="1E165EDF" w14:textId="77777777" w:rsidR="00921764" w:rsidRDefault="00921764" w:rsidP="00921764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B425485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B16569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28C209F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4CC456E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B908CB6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37316C8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13DC962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A635618" w14:textId="77777777" w:rsidR="00921764" w:rsidRDefault="00921764" w:rsidP="00921764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0FEAB7FB" w14:textId="77777777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3AA0CE48" w14:textId="567714C8" w:rsidR="00921764" w:rsidRDefault="00921764" w:rsidP="00921764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First Time Manager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78A56841" w14:textId="77777777" w:rsidR="00921764" w:rsidRDefault="00921764" w:rsidP="00921764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921764">
        <w:rPr>
          <w:rFonts w:ascii="Swis721 Cn BT" w:hAnsi="Swis721 Cn BT"/>
          <w:noProof/>
          <w:color w:val="01559E"/>
          <w:sz w:val="36"/>
          <w:szCs w:val="36"/>
        </w:rPr>
        <w:t xml:space="preserve">Management is about persuading people to do things they do not want to do, while leadership is about inspiring people to do things they never thought they could.” </w:t>
      </w:r>
    </w:p>
    <w:p w14:paraId="6827B3BC" w14:textId="432B8BF7" w:rsidR="00921764" w:rsidRDefault="00921764" w:rsidP="00921764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921764">
        <w:rPr>
          <w:rFonts w:ascii="Swis721 Cn BT" w:hAnsi="Swis721 Cn BT"/>
          <w:noProof/>
          <w:color w:val="01559E"/>
          <w:sz w:val="36"/>
          <w:szCs w:val="36"/>
        </w:rPr>
        <w:t>— Steve Jobs</w:t>
      </w:r>
    </w:p>
    <w:p w14:paraId="562734FF" w14:textId="77777777" w:rsidR="00921764" w:rsidRPr="004D3929" w:rsidRDefault="00921764" w:rsidP="00921764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39290496" w14:textId="77777777" w:rsidR="00921764" w:rsidRDefault="00921764" w:rsidP="00921764">
      <w:pPr>
        <w:tabs>
          <w:tab w:val="left" w:pos="2415"/>
        </w:tabs>
        <w:rPr>
          <w:noProof/>
        </w:rPr>
      </w:pPr>
    </w:p>
    <w:p w14:paraId="75A1C22F" w14:textId="77777777" w:rsidR="00921764" w:rsidRDefault="00921764" w:rsidP="00921764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59A38127" w14:textId="77777777" w:rsidR="00921764" w:rsidRDefault="00921764" w:rsidP="00921764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lastRenderedPageBreak/>
        <w:tab/>
      </w:r>
    </w:p>
    <w:p w14:paraId="709EAD93" w14:textId="77777777" w:rsidR="00921764" w:rsidRPr="002D116B" w:rsidRDefault="00921764" w:rsidP="00921764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1275DCA3" w14:textId="77777777" w:rsidR="00921764" w:rsidRDefault="00921764" w:rsidP="00921764">
      <w:pPr>
        <w:rPr>
          <w:color w:val="002060"/>
          <w:sz w:val="24"/>
          <w:szCs w:val="24"/>
        </w:rPr>
      </w:pPr>
    </w:p>
    <w:p w14:paraId="016C5DDF" w14:textId="238C072B" w:rsidR="00921764" w:rsidRPr="00921764" w:rsidRDefault="00921764" w:rsidP="0092176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21764">
        <w:rPr>
          <w:rFonts w:ascii="Swis721 Cn BT" w:hAnsi="Swis721 Cn BT"/>
          <w:color w:val="01559E"/>
          <w:sz w:val="28"/>
          <w:szCs w:val="28"/>
        </w:rPr>
        <w:t xml:space="preserve">Strengthen managerial effectiveness through people-centric leadership practices </w:t>
      </w:r>
    </w:p>
    <w:p w14:paraId="3559ECBC" w14:textId="4DFBD363" w:rsidR="00921764" w:rsidRPr="00921764" w:rsidRDefault="00921764" w:rsidP="0092176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21764">
        <w:rPr>
          <w:rFonts w:ascii="Swis721 Cn BT" w:hAnsi="Swis721 Cn BT"/>
          <w:color w:val="01559E"/>
          <w:sz w:val="28"/>
          <w:szCs w:val="28"/>
        </w:rPr>
        <w:t xml:space="preserve">Improve team productivity through delegation and performance management </w:t>
      </w:r>
    </w:p>
    <w:p w14:paraId="55DBAF08" w14:textId="50E963D7" w:rsidR="00921764" w:rsidRPr="00921764" w:rsidRDefault="00921764" w:rsidP="0092176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21764">
        <w:rPr>
          <w:rFonts w:ascii="Swis721 Cn BT" w:hAnsi="Swis721 Cn BT"/>
          <w:color w:val="01559E"/>
          <w:sz w:val="28"/>
          <w:szCs w:val="28"/>
        </w:rPr>
        <w:t xml:space="preserve">Build high-performing teams through coaching and motivational leadership </w:t>
      </w:r>
    </w:p>
    <w:p w14:paraId="67D696DD" w14:textId="24A81802" w:rsidR="00921764" w:rsidRPr="00921764" w:rsidRDefault="00921764" w:rsidP="0092176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21764">
        <w:rPr>
          <w:rFonts w:ascii="Swis721 Cn BT" w:hAnsi="Swis721 Cn BT"/>
          <w:color w:val="01559E"/>
          <w:sz w:val="28"/>
          <w:szCs w:val="28"/>
        </w:rPr>
        <w:t xml:space="preserve">Enhance managerial communication through assertive and constructive interactions </w:t>
      </w:r>
    </w:p>
    <w:p w14:paraId="6C38D9A3" w14:textId="5FADC397" w:rsidR="00921764" w:rsidRPr="00111458" w:rsidRDefault="00921764" w:rsidP="0092176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921764">
        <w:rPr>
          <w:rFonts w:ascii="Swis721 Cn BT" w:hAnsi="Swis721 Cn BT"/>
          <w:color w:val="01559E"/>
          <w:sz w:val="28"/>
          <w:szCs w:val="28"/>
        </w:rPr>
        <w:t>Drive business outcomes through goal setting and prioritisation techniques</w:t>
      </w:r>
    </w:p>
    <w:p w14:paraId="09DBA503" w14:textId="77777777" w:rsidR="00921764" w:rsidRDefault="00921764" w:rsidP="00921764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4A562281" w14:textId="77777777" w:rsidR="00921764" w:rsidRPr="00286CEF" w:rsidRDefault="00921764" w:rsidP="00921764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0C8B17C" w14:textId="069C277B" w:rsidR="00921764" w:rsidRPr="00921764" w:rsidRDefault="00921764" w:rsidP="00921764">
      <w:pPr>
        <w:pStyle w:val="NormalWeb"/>
        <w:numPr>
          <w:ilvl w:val="0"/>
          <w:numId w:val="2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  <w:r w:rsidRPr="00921764">
        <w:rPr>
          <w:rFonts w:ascii="Swis721 Cn BT" w:hAnsi="Swis721 Cn BT"/>
          <w:color w:val="01559E"/>
          <w:sz w:val="28"/>
          <w:szCs w:val="28"/>
        </w:rPr>
        <w:t>Managerial Effectiveness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Challenges Faced by Managers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Benefits of Effective Management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7C’s Leadership Framework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Competence and Credibility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Care and Connection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Communication and Commitment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Recognition and Accountability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SMART Goal Setting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Action Planning Techniques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Goal Prioritisation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Assertive Communication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Passive vs Aggressive Communication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Empathetic Communication Techniques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Team Communication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Constructive Feedback Techniques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EXPLAIN Feedback Model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Task Performance Feedback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Behavioural Feedback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</w:r>
      <w:r w:rsidRPr="00921764">
        <w:rPr>
          <w:rFonts w:ascii="Swis721 Cn BT" w:hAnsi="Swis721 Cn BT"/>
          <w:color w:val="01559E"/>
          <w:sz w:val="28"/>
          <w:szCs w:val="28"/>
        </w:rPr>
        <w:lastRenderedPageBreak/>
        <w:t>Team Motivation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Employee Appreciation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VIP-HRs Appreciation Model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Delegation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Effective Delegation Techniques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Building Equal Shoulders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Trust and Collaboration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Building Dream Teams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Tuckman Team Building Model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Team Building Challenges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Time Management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Urgent Important Matrix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Workplace Prioritisation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Coaching and Mentoring Fundamentals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GROW Coaching Model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Employee Development Practices</w:t>
      </w:r>
      <w:r w:rsidRPr="00921764">
        <w:rPr>
          <w:rFonts w:ascii="Swis721 Cn BT" w:hAnsi="Swis721 Cn BT"/>
          <w:color w:val="01559E"/>
          <w:sz w:val="28"/>
          <w:szCs w:val="28"/>
        </w:rPr>
        <w:br/>
        <w:t>Leadership Through Influence</w:t>
      </w:r>
    </w:p>
    <w:p w14:paraId="146F73B3" w14:textId="77777777" w:rsidR="00921764" w:rsidRPr="00921764" w:rsidRDefault="00921764" w:rsidP="00921764">
      <w:pPr>
        <w:pStyle w:val="NormalWeb"/>
        <w:shd w:val="clear" w:color="auto" w:fill="FFFFFF"/>
        <w:spacing w:line="276" w:lineRule="auto"/>
        <w:ind w:left="11"/>
        <w:rPr>
          <w:rFonts w:ascii="Swis721 Cn BT" w:hAnsi="Swis721 Cn BT"/>
          <w:color w:val="01559E"/>
          <w:sz w:val="28"/>
          <w:szCs w:val="28"/>
        </w:rPr>
      </w:pPr>
    </w:p>
    <w:p w14:paraId="12B66183" w14:textId="77777777" w:rsidR="00921764" w:rsidRDefault="00921764" w:rsidP="00921764"/>
    <w:p w14:paraId="79C79D00" w14:textId="77777777" w:rsidR="00921764" w:rsidRDefault="00921764" w:rsidP="00921764"/>
    <w:p w14:paraId="79DF14F6" w14:textId="77777777" w:rsidR="00921764" w:rsidRDefault="00921764" w:rsidP="00921764"/>
    <w:p w14:paraId="7E342D41" w14:textId="77777777" w:rsidR="00921764" w:rsidRDefault="00921764" w:rsidP="00921764"/>
    <w:p w14:paraId="32B91B9D" w14:textId="77777777" w:rsidR="00921764" w:rsidRDefault="00921764" w:rsidP="00921764"/>
    <w:p w14:paraId="02651966" w14:textId="77777777" w:rsidR="00921764" w:rsidRDefault="00921764" w:rsidP="00921764">
      <w:pPr>
        <w:jc w:val="center"/>
      </w:pPr>
    </w:p>
    <w:p w14:paraId="7B8C1CD7" w14:textId="77777777" w:rsidR="00921764" w:rsidRPr="00EE07C3" w:rsidRDefault="00921764" w:rsidP="00921764"/>
    <w:p w14:paraId="493B6C8D" w14:textId="77777777" w:rsidR="00921764" w:rsidRPr="00EE07C3" w:rsidRDefault="00921764" w:rsidP="00921764"/>
    <w:p w14:paraId="07C04527" w14:textId="77777777" w:rsidR="00921764" w:rsidRPr="00EE07C3" w:rsidRDefault="00921764" w:rsidP="00921764"/>
    <w:p w14:paraId="76299A2B" w14:textId="77777777" w:rsidR="00921764" w:rsidRPr="00EE07C3" w:rsidRDefault="00921764" w:rsidP="00921764"/>
    <w:p w14:paraId="350C5BE2" w14:textId="77777777" w:rsidR="00921764" w:rsidRPr="00EE07C3" w:rsidRDefault="00921764" w:rsidP="00921764"/>
    <w:p w14:paraId="362DB51C" w14:textId="77777777" w:rsidR="00921764" w:rsidRPr="00EE07C3" w:rsidRDefault="00921764" w:rsidP="00921764"/>
    <w:p w14:paraId="1289BC01" w14:textId="77777777" w:rsidR="00921764" w:rsidRPr="00EE07C3" w:rsidRDefault="00921764" w:rsidP="00921764"/>
    <w:p w14:paraId="48FE3B1E" w14:textId="77777777" w:rsidR="00921764" w:rsidRPr="00EE07C3" w:rsidRDefault="00921764" w:rsidP="00921764">
      <w:pPr>
        <w:jc w:val="center"/>
      </w:pPr>
    </w:p>
    <w:p w14:paraId="5C2ED60C" w14:textId="77777777" w:rsidR="00921764" w:rsidRDefault="00921764" w:rsidP="00921764"/>
    <w:p w14:paraId="0BD676A2" w14:textId="77777777" w:rsidR="00921764" w:rsidRDefault="00921764" w:rsidP="00921764"/>
    <w:p w14:paraId="3D91EA63" w14:textId="77777777" w:rsidR="00921764" w:rsidRDefault="00921764" w:rsidP="00921764"/>
    <w:p w14:paraId="14C258F2" w14:textId="77777777" w:rsidR="00640C27" w:rsidRDefault="00640C27"/>
    <w:sectPr w:rsidR="00640C27" w:rsidSect="00921764">
      <w:headerReference w:type="default" r:id="rId7"/>
      <w:footerReference w:type="default" r:id="rId8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8FB0" w14:textId="77777777" w:rsidR="00921764" w:rsidRPr="0094177D" w:rsidRDefault="00921764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Personal Effectiveness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A2EA" w14:textId="77777777" w:rsidR="00921764" w:rsidRDefault="0092176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B280C" wp14:editId="799C2C2C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7C51"/>
    <w:multiLevelType w:val="hybridMultilevel"/>
    <w:tmpl w:val="EED05F0A"/>
    <w:lvl w:ilvl="0" w:tplc="40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1"/>
  </w:num>
  <w:num w:numId="2" w16cid:durableId="16626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4"/>
    <w:rsid w:val="00640C27"/>
    <w:rsid w:val="00921764"/>
    <w:rsid w:val="00930DF7"/>
    <w:rsid w:val="00B975F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D91A"/>
  <w15:chartTrackingRefBased/>
  <w15:docId w15:val="{DD538046-C81F-4073-B603-03FB095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6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gprofessionals.com.au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2026-05-28T08:11:00Z</dcterms:created>
  <dcterms:modified xsi:type="dcterms:W3CDTF">2026-05-28T08:13:00Z</dcterms:modified>
</cp:coreProperties>
</file>