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 xml:space="preserve">Business Communication</w:t>
      </w:r>
    </w:p>
    <w:p>
      <w:pPr>
        <w:spacing w:after="200"/>
        <w:jc w:val="center"/>
      </w:pPr>
      <w:r>
        <w:rPr>
          <w:b/>
          <w:bCs/>
          <w:color w:val="1F3864"/>
          <w:sz w:val="24"/>
          <w:szCs w:val="24"/>
        </w:rPr>
        <w:t xml:space="preserve">Verbal, Non-Verbal &amp; Written Communication for the Workplace</w:t>
      </w:r>
    </w:p>
    <w:p>
      <w:pPr>
        <w:spacing w:after="300"/>
        <w:jc w:val="center"/>
      </w:pPr>
      <w:r>
        <w:rPr>
          <w:i/>
          <w:iCs/>
          <w:sz w:val="22"/>
          <w:szCs w:val="22"/>
        </w:rPr>
        <w:t xml:space="preserve">“Speak clearly. Listen closely. Work better.”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Overview</w:t>
      </w:r>
    </w:p>
    <w:p>
      <w:pPr>
        <w:spacing w:after="100"/>
      </w:pPr>
      <w:r>
        <w:rPr>
          <w:sz w:val="21"/>
          <w:szCs w:val="21"/>
        </w:rPr>
        <w:t xml:space="preserve">Duration: Half Day</w:t>
      </w:r>
    </w:p>
    <w:p>
      <w:pPr>
        <w:spacing w:after="100"/>
      </w:pPr>
      <w:r>
        <w:rPr>
          <w:sz w:val="21"/>
          <w:szCs w:val="21"/>
        </w:rPr>
        <w:t xml:space="preserve">No. of Participants: 20–25 Pax</w:t>
      </w:r>
    </w:p>
    <w:p>
      <w:pPr>
        <w:spacing w:after="100"/>
      </w:pPr>
      <w:r>
        <w:rPr>
          <w:sz w:val="21"/>
          <w:szCs w:val="21"/>
        </w:rPr>
        <w:t xml:space="preserve">Timing: 9:30 A.M – 1:30 P.M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Target Audience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Employees across functions who want sharper workplace communication skills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Professionals who regularly present, run meetings, or write emails, memos and reports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New joiners needing a grounding in verbal, non-verbal and written communication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Objectives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Understand what business communication is and why clarity, accuracy and professionalism matter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Apply effective speaking, presentation and public speaking techniques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Run focused meetings and read non-verbal cues, tone and body language accurately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Structure professional emails, memos and reports using the five-part format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Practise real workplace scenarios — a missing-deadline conversation and rewriting a poorly written message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Draw lessons from real brand case studies on when communication protects or damages trust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Outline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700"/>
        <w:gridCol w:w="6900"/>
      </w:tblGrid>
      <w:tr>
        <w:trPr>
          <w:tblHeader/>
        </w:trPr>
        <w:tc>
          <w:tcPr>
            <w:tcW w:type="dxa" w:w="7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Sr. No.</w:t>
            </w:r>
          </w:p>
        </w:tc>
        <w:tc>
          <w:tcPr>
            <w:tcW w:type="dxa" w:w="17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69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Topic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9:30 – 9:45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Welcome &amp; Learning Objectives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Welcome — why business communication matters: verbal, non-verbal, written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Learning objectives overview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What is business communication — purpose, channels and what makes it effective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9:45 – 10:30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Verbal Communication &amp; Public Speaking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Verbal communication — forms, strengths and watch-outs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Effective speaking tips — structure, clarity, confidence, active listening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Presentations &amp; public speaking — purpose, audience fit and what success looks like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10:30 – 10:45 AM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Tea Break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10:45 – 11:30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Meetings, Non-Verbal Communication &amp; Tone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Meeting communication — ground rules for short, useful meetings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Non-verbal communication — eye contact, posture, gestures, facial expression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Body language do’s &amp; don’ts; tone of voice — same words, different meaning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11:30 AM – 12:15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Written Communication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Written communication overview — email, memo and report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Professional email structure — the five parts, in order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Memos &amp; reports — purpose, structure and best practices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12:15 – 12:45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Practice: Role Play &amp; Group Activity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Role play — a missing-deadline conversation between manager and employee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Group activity — ‘Fix the Message’: diagnosing and rewriting a poorly written email, memo or invite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12:45 – 1:15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Case Studies: When Communication Makes or Breaks Trust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Case study — Bournvita’s sugar row: how a reply can outgrow the issue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The contrast — Cadbury India: trust rebuilt by owning the problem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Discussion — comparing the two responses &amp; drafting a three-line statement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1:15 – 1:30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Key Takeaways &amp; Closing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Key takeaways — know your audience, tone &amp; body language carry meaning, talk to discuss/write to record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Close with decisions, owners and deadlines; speak early — silence costs trust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Thank you, questions &amp; discussion</w:t>
            </w:r>
          </w:p>
        </w:tc>
      </w:tr>
    </w:tbl>
    <w:p>
      <w:pPr>
        <w:spacing w:before="240"/>
      </w:pPr>
      <w:r>
        <w:rPr>
          <w:i/>
          <w:iCs/>
          <w:sz w:val="18"/>
          <w:szCs w:val="18"/>
        </w:rPr>
        <w:t xml:space="preserve">*This is an indicative outline based on the accompanying slide deck; timings can be customised by the trainer as per client needs and discussion.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2026-09-03T07:28:02.417Z</dcterms:created>
  <dcterms:modified xsi:type="dcterms:W3CDTF">2026-09-03T07:28:02.427Z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