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0253" w14:textId="77777777" w:rsidR="00BB57C9" w:rsidRDefault="00BB57C9" w:rsidP="00BB57C9">
      <w:pPr>
        <w:rPr>
          <w:noProof/>
        </w:rPr>
      </w:pPr>
      <w:r w:rsidRPr="004D6E8A">
        <w:rPr>
          <w:noProof/>
        </w:rPr>
        <w:drawing>
          <wp:anchor distT="0" distB="0" distL="114300" distR="114300" simplePos="0" relativeHeight="251659264" behindDoc="1" locked="0" layoutInCell="1" allowOverlap="1" wp14:anchorId="50E1E9D9" wp14:editId="428F38CB">
            <wp:simplePos x="0" y="0"/>
            <wp:positionH relativeFrom="column">
              <wp:posOffset>-1011382</wp:posOffset>
            </wp:positionH>
            <wp:positionV relativeFrom="paragraph">
              <wp:posOffset>-962891</wp:posOffset>
            </wp:positionV>
            <wp:extent cx="8243570" cy="6379210"/>
            <wp:effectExtent l="0" t="0" r="5080" b="2540"/>
            <wp:wrapNone/>
            <wp:docPr id="5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B44C2220-4736-6D7F-3E54-83A8ED1DD69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B44C2220-4736-6D7F-3E54-83A8ED1DD69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2676" r="2676"/>
                    <a:stretch>
                      <a:fillRect/>
                    </a:stretch>
                  </pic:blipFill>
                  <pic:spPr>
                    <a:xfrm>
                      <a:off x="0" y="0"/>
                      <a:ext cx="8243570" cy="637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6287D" wp14:editId="135C183B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4769036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A49F8E" w14:textId="77777777" w:rsidR="00BB57C9" w:rsidRPr="0094177D" w:rsidRDefault="00BB57C9" w:rsidP="00BB57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5628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8pt;margin-top:498.7pt;width:649.1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" stroked="f">
                <v:textbox style="mso-fit-shape-to-text:t">
                  <w:txbxContent>
                    <w:p w14:paraId="67A49F8E" w14:textId="77777777" w:rsidR="00BB57C9" w:rsidRPr="0094177D" w:rsidRDefault="00BB57C9" w:rsidP="00BB57C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A5A96" wp14:editId="41120D73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1955805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120CF9" w14:textId="77777777" w:rsidR="00BB57C9" w:rsidRPr="00EE07C3" w:rsidRDefault="00BB57C9" w:rsidP="00BB57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A5A96" id="_x0000_s1027" type="#_x0000_t202" style="position:absolute;margin-left:-7.8pt;margin-top:498.7pt;width:649.1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" stroked="f">
                <v:textbox style="mso-fit-shape-to-text:t">
                  <w:txbxContent>
                    <w:p w14:paraId="16120CF9" w14:textId="77777777" w:rsidR="00BB57C9" w:rsidRPr="00EE07C3" w:rsidRDefault="00BB57C9" w:rsidP="00BB57C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DCD4C9" w14:textId="77777777" w:rsidR="00BB57C9" w:rsidRDefault="00BB57C9" w:rsidP="00BB57C9">
      <w:pPr>
        <w:rPr>
          <w:noProof/>
        </w:rPr>
      </w:pPr>
    </w:p>
    <w:p w14:paraId="2BDC0A6C" w14:textId="77777777" w:rsidR="00BB57C9" w:rsidRDefault="00BB57C9" w:rsidP="00BB57C9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33889E30" w14:textId="77777777" w:rsidR="00BB57C9" w:rsidRDefault="00BB57C9" w:rsidP="00BB57C9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B295FD2" w14:textId="77777777" w:rsidR="00BB57C9" w:rsidRDefault="00BB57C9" w:rsidP="00BB57C9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D4DC09A" w14:textId="77777777" w:rsidR="00BB57C9" w:rsidRDefault="00BB57C9" w:rsidP="00BB57C9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4AE28818" w14:textId="77777777" w:rsidR="00BB57C9" w:rsidRDefault="00BB57C9" w:rsidP="00BB57C9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F8BEABD" w14:textId="77777777" w:rsidR="00BB57C9" w:rsidRDefault="00BB57C9" w:rsidP="00BB57C9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5B955AF" w14:textId="77777777" w:rsidR="00BB57C9" w:rsidRDefault="00BB57C9" w:rsidP="00BB57C9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21912B0" w14:textId="77777777" w:rsidR="00BB57C9" w:rsidRDefault="00BB57C9" w:rsidP="00BB57C9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6EEA3EE" w14:textId="77777777" w:rsidR="00BB57C9" w:rsidRDefault="00BB57C9" w:rsidP="00BB57C9">
      <w:pPr>
        <w:tabs>
          <w:tab w:val="left" w:pos="6432"/>
        </w:tabs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ab/>
      </w:r>
    </w:p>
    <w:p w14:paraId="6C13D1ED" w14:textId="77777777" w:rsidR="00BB57C9" w:rsidRDefault="00BB57C9" w:rsidP="00BB57C9">
      <w:pPr>
        <w:jc w:val="center"/>
        <w:rPr>
          <w:rFonts w:ascii="Swis721 Cn BT" w:hAnsi="Swis721 Cn BT"/>
          <w:b/>
          <w:bCs/>
          <w:noProof/>
          <w:color w:val="01559E"/>
          <w:sz w:val="36"/>
          <w:szCs w:val="36"/>
        </w:rPr>
      </w:pPr>
    </w:p>
    <w:p w14:paraId="4F696396" w14:textId="0701B0F8" w:rsidR="00BB57C9" w:rsidRDefault="00BB57C9" w:rsidP="00BB57C9">
      <w:pPr>
        <w:jc w:val="center"/>
        <w:rPr>
          <w:rFonts w:ascii="Swis721 Cn BT" w:hAnsi="Swis721 Cn BT"/>
          <w:b/>
          <w:bCs/>
          <w:noProof/>
          <w:color w:val="01559E"/>
          <w:sz w:val="36"/>
          <w:szCs w:val="36"/>
        </w:rPr>
      </w:pPr>
      <w:r>
        <w:rPr>
          <w:rFonts w:ascii="Swis721 Cn BT" w:hAnsi="Swis721 Cn BT"/>
          <w:b/>
          <w:bCs/>
          <w:noProof/>
          <w:color w:val="01559E"/>
          <w:sz w:val="36"/>
          <w:szCs w:val="36"/>
        </w:rPr>
        <w:t xml:space="preserve">Anti Money Laundering_KYC </w:t>
      </w:r>
      <w:r w:rsidRPr="00644BDB">
        <w:rPr>
          <w:rFonts w:ascii="Swis721 Cn BT" w:hAnsi="Swis721 Cn BT"/>
          <w:b/>
          <w:bCs/>
          <w:noProof/>
          <w:color w:val="01559E"/>
          <w:sz w:val="36"/>
          <w:szCs w:val="36"/>
        </w:rPr>
        <w:t>Workshop</w:t>
      </w:r>
    </w:p>
    <w:p w14:paraId="41C99066" w14:textId="77777777" w:rsidR="00BB57C9" w:rsidRDefault="00BB57C9" w:rsidP="00BB57C9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BB57C9">
        <w:rPr>
          <w:rFonts w:ascii="Swis721 Cn BT" w:hAnsi="Swis721 Cn BT"/>
          <w:noProof/>
          <w:color w:val="01559E"/>
          <w:sz w:val="36"/>
          <w:szCs w:val="36"/>
        </w:rPr>
        <w:t xml:space="preserve">“Compliance is not just a legal requirement; it is a commitment to integrity and trust.” </w:t>
      </w:r>
    </w:p>
    <w:p w14:paraId="43D60874" w14:textId="52668357" w:rsidR="00BB57C9" w:rsidRPr="00BB57C9" w:rsidRDefault="00BB57C9" w:rsidP="00BB57C9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BB57C9">
        <w:rPr>
          <w:rFonts w:ascii="Swis721 Cn BT" w:hAnsi="Swis721 Cn BT"/>
          <w:noProof/>
          <w:color w:val="01559E"/>
          <w:sz w:val="36"/>
          <w:szCs w:val="36"/>
        </w:rPr>
        <w:t>— Warren Buffett</w:t>
      </w:r>
    </w:p>
    <w:p w14:paraId="3D61A957" w14:textId="050F2B67" w:rsidR="00BB57C9" w:rsidRDefault="00BB57C9" w:rsidP="00BB57C9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</w:p>
    <w:p w14:paraId="66AA44FF" w14:textId="77777777" w:rsidR="00BB57C9" w:rsidRPr="004D3929" w:rsidRDefault="00BB57C9" w:rsidP="00BB57C9">
      <w:pPr>
        <w:tabs>
          <w:tab w:val="center" w:pos="4513"/>
        </w:tabs>
        <w:rPr>
          <w:rFonts w:ascii="Swis721 Cn BT" w:hAnsi="Swis721 Cn BT"/>
          <w:noProof/>
          <w:color w:val="01559E"/>
          <w:sz w:val="36"/>
          <w:szCs w:val="36"/>
        </w:rPr>
      </w:pPr>
      <w:r w:rsidRPr="001B6CED">
        <w:rPr>
          <w:rFonts w:ascii="Swis721 Cn BT" w:hAnsi="Swis721 Cn BT"/>
          <w:noProof/>
          <w:color w:val="01559E"/>
          <w:sz w:val="36"/>
          <w:szCs w:val="36"/>
          <w:highlight w:val="yellow"/>
        </w:rPr>
        <w:t xml:space="preserve">                                   </w:t>
      </w:r>
    </w:p>
    <w:p w14:paraId="2D25D509" w14:textId="77777777" w:rsidR="00BB57C9" w:rsidRDefault="00BB57C9" w:rsidP="00BB57C9">
      <w:pPr>
        <w:tabs>
          <w:tab w:val="left" w:pos="2415"/>
        </w:tabs>
        <w:rPr>
          <w:noProof/>
        </w:rPr>
      </w:pPr>
    </w:p>
    <w:p w14:paraId="1F6A916A" w14:textId="77777777" w:rsidR="00BB57C9" w:rsidRDefault="00BB57C9" w:rsidP="00BB57C9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56594C80" w14:textId="77777777" w:rsidR="00BB57C9" w:rsidRDefault="00BB57C9" w:rsidP="00BB57C9">
      <w:pPr>
        <w:tabs>
          <w:tab w:val="left" w:pos="4824"/>
        </w:tabs>
        <w:ind w:left="-709"/>
        <w:rPr>
          <w:rFonts w:ascii="Swis721 Cn BT" w:hAnsi="Swis721 Cn BT"/>
          <w:color w:val="01559E"/>
          <w:sz w:val="52"/>
          <w:szCs w:val="52"/>
        </w:rPr>
      </w:pPr>
      <w:r>
        <w:rPr>
          <w:rFonts w:ascii="Swis721 Cn BT" w:hAnsi="Swis721 Cn BT"/>
          <w:color w:val="01559E"/>
          <w:sz w:val="52"/>
          <w:szCs w:val="52"/>
        </w:rPr>
        <w:lastRenderedPageBreak/>
        <w:tab/>
      </w:r>
    </w:p>
    <w:p w14:paraId="3AD89ECC" w14:textId="77777777" w:rsidR="00BB57C9" w:rsidRPr="002D116B" w:rsidRDefault="00BB57C9" w:rsidP="00BB57C9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t>Workshop Objectives</w:t>
      </w:r>
    </w:p>
    <w:p w14:paraId="2350B8D9" w14:textId="77777777" w:rsidR="00BB57C9" w:rsidRDefault="00BB57C9" w:rsidP="00BB57C9">
      <w:pPr>
        <w:rPr>
          <w:color w:val="002060"/>
          <w:sz w:val="24"/>
          <w:szCs w:val="24"/>
        </w:rPr>
      </w:pPr>
    </w:p>
    <w:p w14:paraId="4997664E" w14:textId="5E63912F" w:rsidR="00BB57C9" w:rsidRPr="00BB57C9" w:rsidRDefault="00BB57C9" w:rsidP="00BB57C9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S</w:t>
      </w:r>
      <w:r w:rsidRPr="00BB57C9">
        <w:rPr>
          <w:rFonts w:ascii="Swis721 Cn BT" w:hAnsi="Swis721 Cn BT"/>
          <w:color w:val="01559E"/>
          <w:sz w:val="28"/>
          <w:szCs w:val="28"/>
        </w:rPr>
        <w:t xml:space="preserve">trengthen compliance awareness through AML and KYC practices </w:t>
      </w:r>
    </w:p>
    <w:p w14:paraId="503C9E3E" w14:textId="2CC5A5C5" w:rsidR="00BB57C9" w:rsidRPr="00BB57C9" w:rsidRDefault="00BB57C9" w:rsidP="00BB57C9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BB57C9">
        <w:rPr>
          <w:rFonts w:ascii="Swis721 Cn BT" w:hAnsi="Swis721 Cn BT"/>
          <w:color w:val="01559E"/>
          <w:sz w:val="28"/>
          <w:szCs w:val="28"/>
        </w:rPr>
        <w:t xml:space="preserve">Identify suspicious transactions and potential money laundering indicators </w:t>
      </w:r>
    </w:p>
    <w:p w14:paraId="408F9D8B" w14:textId="7CFADAB6" w:rsidR="00BB57C9" w:rsidRPr="00BB57C9" w:rsidRDefault="00BB57C9" w:rsidP="00BB57C9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BB57C9">
        <w:rPr>
          <w:rFonts w:ascii="Swis721 Cn BT" w:hAnsi="Swis721 Cn BT"/>
          <w:color w:val="01559E"/>
          <w:sz w:val="28"/>
          <w:szCs w:val="28"/>
        </w:rPr>
        <w:t xml:space="preserve">Improve customer due diligence through structured verification processes </w:t>
      </w:r>
    </w:p>
    <w:p w14:paraId="609BC259" w14:textId="3EA574CC" w:rsidR="00BB57C9" w:rsidRPr="00BB57C9" w:rsidRDefault="00BB57C9" w:rsidP="00BB57C9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BB57C9">
        <w:rPr>
          <w:rFonts w:ascii="Swis721 Cn BT" w:hAnsi="Swis721 Cn BT"/>
          <w:color w:val="01559E"/>
          <w:sz w:val="28"/>
          <w:szCs w:val="28"/>
        </w:rPr>
        <w:t xml:space="preserve">Enhance regulatory compliance through transaction monitoring and reporting </w:t>
      </w:r>
    </w:p>
    <w:p w14:paraId="6AD03445" w14:textId="6C7E9989" w:rsidR="00BB57C9" w:rsidRPr="00111458" w:rsidRDefault="00BB57C9" w:rsidP="00BB57C9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BB57C9">
        <w:rPr>
          <w:rFonts w:ascii="Swis721 Cn BT" w:hAnsi="Swis721 Cn BT"/>
          <w:color w:val="01559E"/>
          <w:sz w:val="28"/>
          <w:szCs w:val="28"/>
        </w:rPr>
        <w:t>Reduce financial and reputational risks through AML vigilance</w:t>
      </w:r>
      <w:r w:rsidRPr="00111458">
        <w:rPr>
          <w:rFonts w:ascii="Swis721 Cn BT" w:hAnsi="Swis721 Cn BT"/>
          <w:color w:val="01559E"/>
          <w:sz w:val="28"/>
          <w:szCs w:val="28"/>
        </w:rPr>
        <w:t xml:space="preserve"> </w:t>
      </w:r>
    </w:p>
    <w:p w14:paraId="76FD25A3" w14:textId="77777777" w:rsidR="00BB57C9" w:rsidRDefault="00BB57C9" w:rsidP="00BB57C9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6899C8D6" w14:textId="77777777" w:rsidR="00BB57C9" w:rsidRPr="00286CEF" w:rsidRDefault="00BB57C9" w:rsidP="00BB57C9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4D6E8A">
        <w:rPr>
          <w:rFonts w:ascii="Swis721 Cn BT" w:hAnsi="Swis721 Cn BT"/>
          <w:color w:val="01559E"/>
          <w:sz w:val="52"/>
          <w:szCs w:val="52"/>
        </w:rPr>
        <w:t xml:space="preserve">What this module contains </w:t>
      </w:r>
    </w:p>
    <w:p w14:paraId="6EBAA5DC" w14:textId="77777777" w:rsidR="00BB57C9" w:rsidRDefault="00BB57C9" w:rsidP="00BB57C9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11458">
        <w:rPr>
          <w:rFonts w:ascii="Swis721 Cn BT" w:hAnsi="Swis721 Cn BT"/>
          <w:color w:val="01559E"/>
          <w:sz w:val="28"/>
          <w:szCs w:val="28"/>
        </w:rPr>
        <w:t xml:space="preserve">Understanding Personal Effectiveness </w:t>
      </w:r>
    </w:p>
    <w:p w14:paraId="3DFBEBD2" w14:textId="690B4D96" w:rsidR="00BB57C9" w:rsidRPr="00111458" w:rsidRDefault="00BB57C9" w:rsidP="00BB57C9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BB57C9">
        <w:rPr>
          <w:rFonts w:ascii="Swis721 Cn BT" w:hAnsi="Swis721 Cn BT"/>
          <w:color w:val="01559E"/>
          <w:sz w:val="28"/>
          <w:szCs w:val="28"/>
        </w:rPr>
        <w:t>Anti-Money Laundering Fundamentals</w:t>
      </w:r>
      <w:r w:rsidRPr="00BB57C9">
        <w:rPr>
          <w:rFonts w:ascii="Swis721 Cn BT" w:hAnsi="Swis721 Cn BT"/>
          <w:color w:val="01559E"/>
          <w:sz w:val="28"/>
          <w:szCs w:val="28"/>
        </w:rPr>
        <w:br/>
        <w:t>• Sources of Dirty Money</w:t>
      </w:r>
      <w:r w:rsidRPr="00BB57C9">
        <w:rPr>
          <w:rFonts w:ascii="Swis721 Cn BT" w:hAnsi="Swis721 Cn BT"/>
          <w:color w:val="01559E"/>
          <w:sz w:val="28"/>
          <w:szCs w:val="28"/>
        </w:rPr>
        <w:br/>
        <w:t>• Variants of Money Laundering</w:t>
      </w:r>
      <w:r w:rsidRPr="00BB57C9">
        <w:rPr>
          <w:rFonts w:ascii="Swis721 Cn BT" w:hAnsi="Swis721 Cn BT"/>
          <w:color w:val="01559E"/>
          <w:sz w:val="28"/>
          <w:szCs w:val="28"/>
        </w:rPr>
        <w:br/>
        <w:t>• Economic and Financial Impact</w:t>
      </w:r>
      <w:r w:rsidRPr="00BB57C9">
        <w:rPr>
          <w:rFonts w:ascii="Swis721 Cn BT" w:hAnsi="Swis721 Cn BT"/>
          <w:color w:val="01559E"/>
          <w:sz w:val="28"/>
          <w:szCs w:val="28"/>
        </w:rPr>
        <w:br/>
        <w:t>• Impact on Financial Institutions</w:t>
      </w:r>
      <w:r w:rsidRPr="00BB57C9">
        <w:rPr>
          <w:rFonts w:ascii="Swis721 Cn BT" w:hAnsi="Swis721 Cn BT"/>
          <w:color w:val="01559E"/>
          <w:sz w:val="28"/>
          <w:szCs w:val="28"/>
        </w:rPr>
        <w:br/>
        <w:t>• Customer Due Diligence Fundamentals</w:t>
      </w:r>
      <w:r w:rsidRPr="00BB57C9">
        <w:rPr>
          <w:rFonts w:ascii="Swis721 Cn BT" w:hAnsi="Swis721 Cn BT"/>
          <w:color w:val="01559E"/>
          <w:sz w:val="28"/>
          <w:szCs w:val="28"/>
        </w:rPr>
        <w:br/>
        <w:t>• KYC Fundamentals</w:t>
      </w:r>
      <w:r w:rsidRPr="00BB57C9">
        <w:rPr>
          <w:rFonts w:ascii="Swis721 Cn BT" w:hAnsi="Swis721 Cn BT"/>
          <w:color w:val="01559E"/>
          <w:sz w:val="28"/>
          <w:szCs w:val="28"/>
        </w:rPr>
        <w:br/>
        <w:t>• Objectives of KYC</w:t>
      </w:r>
      <w:r w:rsidRPr="00BB57C9">
        <w:rPr>
          <w:rFonts w:ascii="Swis721 Cn BT" w:hAnsi="Swis721 Cn BT"/>
          <w:color w:val="01559E"/>
          <w:sz w:val="28"/>
          <w:szCs w:val="28"/>
        </w:rPr>
        <w:br/>
        <w:t>• CDD vs EDD</w:t>
      </w:r>
      <w:r w:rsidRPr="00BB57C9">
        <w:rPr>
          <w:rFonts w:ascii="Swis721 Cn BT" w:hAnsi="Swis721 Cn BT"/>
          <w:color w:val="01559E"/>
          <w:sz w:val="28"/>
          <w:szCs w:val="28"/>
        </w:rPr>
        <w:br/>
        <w:t>• High-Risk Customer Categories</w:t>
      </w:r>
      <w:r w:rsidRPr="00BB57C9">
        <w:rPr>
          <w:rFonts w:ascii="Swis721 Cn BT" w:hAnsi="Swis721 Cn BT"/>
          <w:color w:val="01559E"/>
          <w:sz w:val="28"/>
          <w:szCs w:val="28"/>
        </w:rPr>
        <w:br/>
        <w:t>• Types of Customers</w:t>
      </w:r>
      <w:r w:rsidRPr="00BB57C9">
        <w:rPr>
          <w:rFonts w:ascii="Swis721 Cn BT" w:hAnsi="Swis721 Cn BT"/>
          <w:color w:val="01559E"/>
          <w:sz w:val="28"/>
          <w:szCs w:val="28"/>
        </w:rPr>
        <w:br/>
        <w:t>• Customer Risk Assessment</w:t>
      </w:r>
      <w:r w:rsidRPr="00BB57C9">
        <w:rPr>
          <w:rFonts w:ascii="Swis721 Cn BT" w:hAnsi="Swis721 Cn BT"/>
          <w:color w:val="01559E"/>
          <w:sz w:val="28"/>
          <w:szCs w:val="28"/>
        </w:rPr>
        <w:br/>
        <w:t>• KYC Documentation Requirements</w:t>
      </w:r>
      <w:r w:rsidRPr="00BB57C9">
        <w:rPr>
          <w:rFonts w:ascii="Swis721 Cn BT" w:hAnsi="Swis721 Cn BT"/>
          <w:color w:val="01559E"/>
          <w:sz w:val="28"/>
          <w:szCs w:val="28"/>
        </w:rPr>
        <w:br/>
        <w:t>• Identity Verification Documents</w:t>
      </w:r>
      <w:r w:rsidRPr="00BB57C9">
        <w:rPr>
          <w:rFonts w:ascii="Swis721 Cn BT" w:hAnsi="Swis721 Cn BT"/>
          <w:color w:val="01559E"/>
          <w:sz w:val="28"/>
          <w:szCs w:val="28"/>
        </w:rPr>
        <w:br/>
        <w:t>• Address Verification Documents</w:t>
      </w:r>
      <w:r w:rsidRPr="00BB57C9">
        <w:rPr>
          <w:rFonts w:ascii="Swis721 Cn BT" w:hAnsi="Swis721 Cn BT"/>
          <w:color w:val="01559E"/>
          <w:sz w:val="28"/>
          <w:szCs w:val="28"/>
        </w:rPr>
        <w:br/>
        <w:t>• Beneficial Ownership Verification</w:t>
      </w:r>
      <w:r w:rsidRPr="00BB57C9">
        <w:rPr>
          <w:rFonts w:ascii="Swis721 Cn BT" w:hAnsi="Swis721 Cn BT"/>
          <w:color w:val="01559E"/>
          <w:sz w:val="28"/>
          <w:szCs w:val="28"/>
        </w:rPr>
        <w:br/>
        <w:t>• Due Diligence Practices</w:t>
      </w:r>
      <w:r w:rsidRPr="00BB57C9">
        <w:rPr>
          <w:rFonts w:ascii="Swis721 Cn BT" w:hAnsi="Swis721 Cn BT"/>
          <w:color w:val="01559E"/>
          <w:sz w:val="28"/>
          <w:szCs w:val="28"/>
        </w:rPr>
        <w:br/>
        <w:t>• Suspicious Transaction Fundamentals</w:t>
      </w:r>
      <w:r w:rsidRPr="00BB57C9">
        <w:rPr>
          <w:rFonts w:ascii="Swis721 Cn BT" w:hAnsi="Swis721 Cn BT"/>
          <w:color w:val="01559E"/>
          <w:sz w:val="28"/>
          <w:szCs w:val="28"/>
        </w:rPr>
        <w:br/>
        <w:t>• Red Flag Indicators</w:t>
      </w:r>
      <w:r w:rsidRPr="00BB57C9">
        <w:rPr>
          <w:rFonts w:ascii="Swis721 Cn BT" w:hAnsi="Swis721 Cn BT"/>
          <w:color w:val="01559E"/>
          <w:sz w:val="28"/>
          <w:szCs w:val="28"/>
        </w:rPr>
        <w:br/>
        <w:t>• Transaction Monitoring Practices</w:t>
      </w:r>
      <w:r w:rsidRPr="00BB57C9">
        <w:rPr>
          <w:rFonts w:ascii="Swis721 Cn BT" w:hAnsi="Swis721 Cn BT"/>
          <w:color w:val="01559E"/>
          <w:sz w:val="28"/>
          <w:szCs w:val="28"/>
        </w:rPr>
        <w:br/>
      </w:r>
      <w:r w:rsidRPr="00BB57C9">
        <w:rPr>
          <w:rFonts w:ascii="Swis721 Cn BT" w:hAnsi="Swis721 Cn BT"/>
          <w:color w:val="01559E"/>
          <w:sz w:val="28"/>
          <w:szCs w:val="28"/>
        </w:rPr>
        <w:lastRenderedPageBreak/>
        <w:t>• Reporting Obligations</w:t>
      </w:r>
      <w:r w:rsidRPr="00BB57C9">
        <w:rPr>
          <w:rFonts w:ascii="Swis721 Cn BT" w:hAnsi="Swis721 Cn BT"/>
          <w:color w:val="01559E"/>
          <w:sz w:val="28"/>
          <w:szCs w:val="28"/>
        </w:rPr>
        <w:br/>
        <w:t>• STR, CCR and NTR Reporting</w:t>
      </w:r>
      <w:r w:rsidRPr="00BB57C9">
        <w:rPr>
          <w:rFonts w:ascii="Swis721 Cn BT" w:hAnsi="Swis721 Cn BT"/>
          <w:color w:val="01559E"/>
          <w:sz w:val="28"/>
          <w:szCs w:val="28"/>
        </w:rPr>
        <w:br/>
        <w:t>• Record Keeping Requirements</w:t>
      </w:r>
      <w:r w:rsidRPr="00BB57C9">
        <w:rPr>
          <w:rFonts w:ascii="Swis721 Cn BT" w:hAnsi="Swis721 Cn BT"/>
          <w:color w:val="01559E"/>
          <w:sz w:val="28"/>
          <w:szCs w:val="28"/>
        </w:rPr>
        <w:br/>
        <w:t>• AML Regulatory Compliance</w:t>
      </w:r>
      <w:r w:rsidRPr="00BB57C9">
        <w:rPr>
          <w:rFonts w:ascii="Swis721 Cn BT" w:hAnsi="Swis721 Cn BT"/>
          <w:color w:val="01559E"/>
          <w:sz w:val="28"/>
          <w:szCs w:val="28"/>
        </w:rPr>
        <w:br/>
        <w:t>• PMLA 2002 Framework</w:t>
      </w:r>
      <w:r w:rsidRPr="00BB57C9">
        <w:rPr>
          <w:rFonts w:ascii="Swis721 Cn BT" w:hAnsi="Swis721 Cn BT"/>
          <w:color w:val="01559E"/>
          <w:sz w:val="28"/>
          <w:szCs w:val="28"/>
        </w:rPr>
        <w:br/>
        <w:t>• FATF and FIU-IND Overview</w:t>
      </w:r>
      <w:r w:rsidRPr="00BB57C9">
        <w:rPr>
          <w:rFonts w:ascii="Swis721 Cn BT" w:hAnsi="Swis721 Cn BT"/>
          <w:color w:val="01559E"/>
          <w:sz w:val="28"/>
          <w:szCs w:val="28"/>
        </w:rPr>
        <w:br/>
        <w:t>• Offences and Punishments</w:t>
      </w:r>
      <w:r w:rsidRPr="00BB57C9">
        <w:rPr>
          <w:rFonts w:ascii="Swis721 Cn BT" w:hAnsi="Swis721 Cn BT"/>
          <w:color w:val="01559E"/>
          <w:sz w:val="28"/>
          <w:szCs w:val="28"/>
        </w:rPr>
        <w:br/>
        <w:t>• Fraud Prevention Measures</w:t>
      </w:r>
      <w:r w:rsidRPr="00BB57C9">
        <w:rPr>
          <w:rFonts w:ascii="Swis721 Cn BT" w:hAnsi="Swis721 Cn BT"/>
          <w:color w:val="01559E"/>
          <w:sz w:val="28"/>
          <w:szCs w:val="28"/>
        </w:rPr>
        <w:br/>
        <w:t>• Compliance and Governance Practices</w:t>
      </w:r>
      <w:r w:rsidRPr="00BB57C9">
        <w:rPr>
          <w:rFonts w:ascii="Swis721 Cn BT" w:hAnsi="Swis721 Cn BT"/>
          <w:color w:val="01559E"/>
          <w:sz w:val="28"/>
          <w:szCs w:val="28"/>
        </w:rPr>
        <w:br/>
        <w:t>• Staff Training and Awareness</w:t>
      </w:r>
    </w:p>
    <w:p w14:paraId="3398DB06" w14:textId="77777777" w:rsidR="00BB57C9" w:rsidRPr="00EE07C3" w:rsidRDefault="00BB57C9" w:rsidP="00BB57C9">
      <w:pPr>
        <w:jc w:val="center"/>
      </w:pPr>
    </w:p>
    <w:p w14:paraId="0A175325" w14:textId="77777777" w:rsidR="00BB57C9" w:rsidRDefault="00BB57C9" w:rsidP="00BB57C9"/>
    <w:p w14:paraId="3BDD5D60" w14:textId="77777777" w:rsidR="00BB57C9" w:rsidRDefault="00BB57C9" w:rsidP="00BB57C9"/>
    <w:p w14:paraId="365408C9" w14:textId="77777777" w:rsidR="00BB57C9" w:rsidRDefault="00BB57C9" w:rsidP="00BB57C9"/>
    <w:p w14:paraId="0165C110" w14:textId="77777777" w:rsidR="00640C27" w:rsidRDefault="00640C27"/>
    <w:sectPr w:rsidR="00640C27" w:rsidSect="00BB57C9">
      <w:headerReference w:type="default" r:id="rId9"/>
      <w:footerReference w:type="default" r:id="rId10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85F61" w14:textId="77777777" w:rsidR="0014679D" w:rsidRDefault="0014679D" w:rsidP="00BB57C9">
      <w:pPr>
        <w:spacing w:after="0" w:line="240" w:lineRule="auto"/>
      </w:pPr>
      <w:r>
        <w:separator/>
      </w:r>
    </w:p>
  </w:endnote>
  <w:endnote w:type="continuationSeparator" w:id="0">
    <w:p w14:paraId="08F75576" w14:textId="77777777" w:rsidR="0014679D" w:rsidRDefault="0014679D" w:rsidP="00BB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wis721 Cn B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B11D0" w14:textId="2FEE0870" w:rsidR="00BB57C9" w:rsidRPr="0094177D" w:rsidRDefault="00BB57C9" w:rsidP="0094177D">
    <w:pPr>
      <w:rPr>
        <w:rFonts w:ascii="Swis721 Cn BT" w:hAnsi="Swis721 Cn BT"/>
        <w:b/>
        <w:bCs/>
        <w:noProof/>
        <w:color w:val="01559E"/>
        <w:sz w:val="36"/>
        <w:szCs w:val="36"/>
      </w:rPr>
    </w:pPr>
    <w:r>
      <w:rPr>
        <w:noProof/>
      </w:rPr>
      <w:t xml:space="preserve">FreelanceTrainings.com                 </w:t>
    </w:r>
    <w:r>
      <w:rPr>
        <w:noProof/>
      </w:rPr>
      <w:t xml:space="preserve">Anti Money Laundering_KYC </w:t>
    </w:r>
    <w:r>
      <w:rPr>
        <w:noProof/>
      </w:rPr>
      <w:t xml:space="preserve"> 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FBAB" w14:textId="77777777" w:rsidR="0014679D" w:rsidRDefault="0014679D" w:rsidP="00BB57C9">
      <w:pPr>
        <w:spacing w:after="0" w:line="240" w:lineRule="auto"/>
      </w:pPr>
      <w:r>
        <w:separator/>
      </w:r>
    </w:p>
  </w:footnote>
  <w:footnote w:type="continuationSeparator" w:id="0">
    <w:p w14:paraId="6EAB72A4" w14:textId="77777777" w:rsidR="0014679D" w:rsidRDefault="0014679D" w:rsidP="00BB5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AD043" w14:textId="77777777" w:rsidR="00BB57C9" w:rsidRDefault="00BB57C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DA8687" wp14:editId="63679925">
          <wp:simplePos x="0" y="0"/>
          <wp:positionH relativeFrom="column">
            <wp:posOffset>5169353</wp:posOffset>
          </wp:positionH>
          <wp:positionV relativeFrom="paragraph">
            <wp:posOffset>-286964</wp:posOffset>
          </wp:positionV>
          <wp:extent cx="1391920" cy="339725"/>
          <wp:effectExtent l="0" t="0" r="0" b="3175"/>
          <wp:wrapTight wrapText="bothSides">
            <wp:wrapPolygon edited="0">
              <wp:start x="0" y="0"/>
              <wp:lineTo x="0" y="20591"/>
              <wp:lineTo x="21285" y="20591"/>
              <wp:lineTo x="21285" y="0"/>
              <wp:lineTo x="0" y="0"/>
            </wp:wrapPolygon>
          </wp:wrapTight>
          <wp:docPr id="3" name="Picture 3" descr="https://www.freelancetrainings.com/static/main_app/img/logo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reelancetrainings.com/static/main_app/img/logo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517E7"/>
    <w:multiLevelType w:val="hybridMultilevel"/>
    <w:tmpl w:val="C6228412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85002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C9"/>
    <w:rsid w:val="0014679D"/>
    <w:rsid w:val="00640C27"/>
    <w:rsid w:val="00930DF7"/>
    <w:rsid w:val="00B975FD"/>
    <w:rsid w:val="00BB57C9"/>
    <w:rsid w:val="00CA0F68"/>
    <w:rsid w:val="00E8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0E9AC"/>
  <w15:chartTrackingRefBased/>
  <w15:docId w15:val="{6BD36418-D397-49AC-8724-30DD8B28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7C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7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7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7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7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7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7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7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7C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5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7C9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BB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BB5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7C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nkanews.lk/2026/03/30/sri-lanka-races-against-time-on-anti-money-laundering-reform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Nayak</dc:creator>
  <cp:keywords/>
  <dc:description/>
  <cp:lastModifiedBy>Priya Nayak</cp:lastModifiedBy>
  <cp:revision>1</cp:revision>
  <dcterms:created xsi:type="dcterms:W3CDTF">2026-05-28T12:34:00Z</dcterms:created>
  <dcterms:modified xsi:type="dcterms:W3CDTF">2026-05-28T12:43:00Z</dcterms:modified>
</cp:coreProperties>
</file>